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78" w:rsidRDefault="00420778" w:rsidP="00420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АРКТИЧЕСКИЙ ИННОВАЦИОННЫЙ ЦЕНТР</w:t>
      </w:r>
    </w:p>
    <w:p w:rsidR="00420778" w:rsidRPr="00420778" w:rsidRDefault="00420778" w:rsidP="00420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Северо-Восток Российской Федерации - регион</w:t>
      </w:r>
      <w:r>
        <w:rPr>
          <w:rFonts w:ascii="Times New Roman" w:hAnsi="Times New Roman" w:cs="Times New Roman"/>
          <w:sz w:val="24"/>
          <w:szCs w:val="24"/>
        </w:rPr>
        <w:t xml:space="preserve"> важнейших геостратегических и</w:t>
      </w:r>
      <w:r w:rsidRPr="00420778">
        <w:rPr>
          <w:rFonts w:ascii="Times New Roman" w:hAnsi="Times New Roman" w:cs="Times New Roman"/>
          <w:sz w:val="24"/>
          <w:szCs w:val="24"/>
        </w:rPr>
        <w:t>тересов страны, природный и экономический потенциал которого становится главным ресурсом развивающейся по инновационному пути российской экономики.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Позитивный опыт наиболее развитых стран показ</w:t>
      </w:r>
      <w:r>
        <w:rPr>
          <w:rFonts w:ascii="Times New Roman" w:hAnsi="Times New Roman" w:cs="Times New Roman"/>
          <w:sz w:val="24"/>
          <w:szCs w:val="24"/>
        </w:rPr>
        <w:t>ывает, что залогом успехов и до</w:t>
      </w:r>
      <w:r w:rsidRPr="00420778">
        <w:rPr>
          <w:rFonts w:ascii="Times New Roman" w:hAnsi="Times New Roman" w:cs="Times New Roman"/>
          <w:sz w:val="24"/>
          <w:szCs w:val="24"/>
        </w:rPr>
        <w:t xml:space="preserve">стижений в социальной и экономической жизни </w:t>
      </w:r>
      <w:r>
        <w:rPr>
          <w:rFonts w:ascii="Times New Roman" w:hAnsi="Times New Roman" w:cs="Times New Roman"/>
          <w:sz w:val="24"/>
          <w:szCs w:val="24"/>
        </w:rPr>
        <w:t>общества является построение эф</w:t>
      </w:r>
      <w:r w:rsidRPr="00420778">
        <w:rPr>
          <w:rFonts w:ascii="Times New Roman" w:hAnsi="Times New Roman" w:cs="Times New Roman"/>
          <w:sz w:val="24"/>
          <w:szCs w:val="24"/>
        </w:rPr>
        <w:t>фективной национальной инновационной системы. Известно, что значительную роль в формировании инновационной системы государства играют университеты, которые являются основными точками роста.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Инновационный потенциал СВФУ сконцентрирован в Арктическом инновационном центре, являющимся многоотраслевым научно-инновационным образовательным комплексом, способствующим повышению качества жизни населения пу</w:t>
      </w:r>
      <w:r>
        <w:rPr>
          <w:rFonts w:ascii="Times New Roman" w:hAnsi="Times New Roman" w:cs="Times New Roman"/>
          <w:sz w:val="24"/>
          <w:szCs w:val="24"/>
        </w:rPr>
        <w:t>тем форми</w:t>
      </w:r>
      <w:r w:rsidRPr="00420778">
        <w:rPr>
          <w:rFonts w:ascii="Times New Roman" w:hAnsi="Times New Roman" w:cs="Times New Roman"/>
          <w:sz w:val="24"/>
          <w:szCs w:val="24"/>
        </w:rPr>
        <w:t>рования и развития инновационной инфраструктуры университета.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Основные задачи, стоящие перед Арктическим инновационным центром (АИЦ):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создание благоприятных организационных и материально-технических условий для инновационной деятельности;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создание и эффективное использование на</w:t>
      </w:r>
      <w:r>
        <w:rPr>
          <w:rFonts w:ascii="Times New Roman" w:hAnsi="Times New Roman" w:cs="Times New Roman"/>
          <w:sz w:val="24"/>
          <w:szCs w:val="24"/>
        </w:rPr>
        <w:t>учно-исследовательских возможно</w:t>
      </w:r>
      <w:r w:rsidRPr="00420778">
        <w:rPr>
          <w:rFonts w:ascii="Times New Roman" w:hAnsi="Times New Roman" w:cs="Times New Roman"/>
          <w:sz w:val="24"/>
          <w:szCs w:val="24"/>
        </w:rPr>
        <w:t>стей университета на базе современного высокотехнологического оборудования;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 xml:space="preserve">распространение и реализация научно-технических и технологических знаний прикладного и фундаментального характера, </w:t>
      </w:r>
      <w:r w:rsidRPr="00420778">
        <w:rPr>
          <w:rFonts w:ascii="Times New Roman" w:hAnsi="Times New Roman" w:cs="Times New Roman"/>
          <w:sz w:val="24"/>
          <w:szCs w:val="24"/>
        </w:rPr>
        <w:lastRenderedPageBreak/>
        <w:t>об</w:t>
      </w:r>
      <w:r>
        <w:rPr>
          <w:rFonts w:ascii="Times New Roman" w:hAnsi="Times New Roman" w:cs="Times New Roman"/>
          <w:sz w:val="24"/>
          <w:szCs w:val="24"/>
        </w:rPr>
        <w:t>еспечивающих рост конкурентоспо</w:t>
      </w:r>
      <w:r w:rsidRPr="00420778">
        <w:rPr>
          <w:rFonts w:ascii="Times New Roman" w:hAnsi="Times New Roman" w:cs="Times New Roman"/>
          <w:sz w:val="24"/>
          <w:szCs w:val="24"/>
        </w:rPr>
        <w:t>собности научно-технической продукции;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коммерциализация науки, знаний и технологий, содействие внедрению наукоем-ких разработок на внутренний и зарубежный рынки;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профессиональной подготовки студен</w:t>
      </w:r>
      <w:r>
        <w:rPr>
          <w:rFonts w:ascii="Times New Roman" w:hAnsi="Times New Roman" w:cs="Times New Roman"/>
          <w:sz w:val="24"/>
          <w:szCs w:val="24"/>
        </w:rPr>
        <w:t>тов, магистрантов, аспи</w:t>
      </w:r>
      <w:r w:rsidRPr="00420778">
        <w:rPr>
          <w:rFonts w:ascii="Times New Roman" w:hAnsi="Times New Roman" w:cs="Times New Roman"/>
          <w:sz w:val="24"/>
          <w:szCs w:val="24"/>
        </w:rPr>
        <w:t xml:space="preserve">рантов и докторантов за счет привлечения их к </w:t>
      </w:r>
      <w:r>
        <w:rPr>
          <w:rFonts w:ascii="Times New Roman" w:hAnsi="Times New Roman" w:cs="Times New Roman"/>
          <w:sz w:val="24"/>
          <w:szCs w:val="24"/>
        </w:rPr>
        <w:t>выполнению научно-исследователь</w:t>
      </w:r>
      <w:r w:rsidRPr="00420778">
        <w:rPr>
          <w:rFonts w:ascii="Times New Roman" w:hAnsi="Times New Roman" w:cs="Times New Roman"/>
          <w:sz w:val="24"/>
          <w:szCs w:val="24"/>
        </w:rPr>
        <w:t>ских работ и инновационных разработок, формирования у них навыков комплексной оценки инновационного потенциала научных идей и проектов в условиях рыночных отношений.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Интересы АИЦ лежат, прежде всего, в сфере нанотехнологий в промышленности, рационального природопользования, климатическ</w:t>
      </w:r>
      <w:r>
        <w:rPr>
          <w:rFonts w:ascii="Times New Roman" w:hAnsi="Times New Roman" w:cs="Times New Roman"/>
          <w:sz w:val="24"/>
          <w:szCs w:val="24"/>
        </w:rPr>
        <w:t>их исследований и испытаний, се</w:t>
      </w:r>
      <w:r w:rsidRPr="00420778">
        <w:rPr>
          <w:rFonts w:ascii="Times New Roman" w:hAnsi="Times New Roman" w:cs="Times New Roman"/>
          <w:sz w:val="24"/>
          <w:szCs w:val="24"/>
        </w:rPr>
        <w:t xml:space="preserve">верной медицины и фармацевтики, исследований в </w:t>
      </w:r>
      <w:r>
        <w:rPr>
          <w:rFonts w:ascii="Times New Roman" w:hAnsi="Times New Roman" w:cs="Times New Roman"/>
          <w:sz w:val="24"/>
          <w:szCs w:val="24"/>
        </w:rPr>
        <w:t>генетике, транспорте, строитель</w:t>
      </w:r>
      <w:r w:rsidRPr="00420778">
        <w:rPr>
          <w:rFonts w:ascii="Times New Roman" w:hAnsi="Times New Roman" w:cs="Times New Roman"/>
          <w:sz w:val="24"/>
          <w:szCs w:val="24"/>
        </w:rPr>
        <w:t>стве и топливно-энергетическом комплексе, инф</w:t>
      </w:r>
      <w:r>
        <w:rPr>
          <w:rFonts w:ascii="Times New Roman" w:hAnsi="Times New Roman" w:cs="Times New Roman"/>
          <w:sz w:val="24"/>
          <w:szCs w:val="24"/>
        </w:rPr>
        <w:t>ормационных технологиях, внедре</w:t>
      </w:r>
      <w:r w:rsidRPr="00420778">
        <w:rPr>
          <w:rFonts w:ascii="Times New Roman" w:hAnsi="Times New Roman" w:cs="Times New Roman"/>
          <w:sz w:val="24"/>
          <w:szCs w:val="24"/>
        </w:rPr>
        <w:t>ния инноваций в науке и образовании.</w:t>
      </w: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78">
        <w:rPr>
          <w:rFonts w:ascii="Times New Roman" w:hAnsi="Times New Roman" w:cs="Times New Roman"/>
          <w:b/>
          <w:sz w:val="24"/>
          <w:szCs w:val="24"/>
        </w:rPr>
        <w:t>Развитие системы управления интеллектуальной собственностью</w:t>
      </w:r>
      <w:r w:rsidRPr="0042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778">
        <w:rPr>
          <w:rFonts w:ascii="Times New Roman" w:hAnsi="Times New Roman" w:cs="Times New Roman"/>
          <w:b/>
          <w:sz w:val="24"/>
          <w:szCs w:val="24"/>
        </w:rPr>
        <w:t>СВФУ</w:t>
      </w:r>
    </w:p>
    <w:p w:rsidR="00420778" w:rsidRP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В задачи Центра интеллектуальной собственнос</w:t>
      </w:r>
      <w:r>
        <w:rPr>
          <w:rFonts w:ascii="Times New Roman" w:hAnsi="Times New Roman" w:cs="Times New Roman"/>
          <w:sz w:val="24"/>
          <w:szCs w:val="24"/>
        </w:rPr>
        <w:t>ти (ЦИС) входит обеспечение пра</w:t>
      </w:r>
      <w:r w:rsidRPr="00420778">
        <w:rPr>
          <w:rFonts w:ascii="Times New Roman" w:hAnsi="Times New Roman" w:cs="Times New Roman"/>
          <w:sz w:val="24"/>
          <w:szCs w:val="24"/>
        </w:rPr>
        <w:t>вовой охраны результатам интеллектуальной деятельности (РИД) университета для интенсификации процессов генерирования знаний в вузовской научной среде и более широкого ее вовлечения в инновационные процессы.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 xml:space="preserve">С целью сотрудничества в области повышения квалификации, профессиональной переподготовки специалистов в сфере </w:t>
      </w:r>
      <w:r w:rsidRPr="00420778">
        <w:rPr>
          <w:rFonts w:ascii="Times New Roman" w:hAnsi="Times New Roman" w:cs="Times New Roman"/>
          <w:sz w:val="24"/>
          <w:szCs w:val="24"/>
        </w:rPr>
        <w:lastRenderedPageBreak/>
        <w:t>интеллектуальной собственности, выполнения совместных научно-исследовательских работ, подг</w:t>
      </w:r>
      <w:r>
        <w:rPr>
          <w:rFonts w:ascii="Times New Roman" w:hAnsi="Times New Roman" w:cs="Times New Roman"/>
          <w:sz w:val="24"/>
          <w:szCs w:val="24"/>
        </w:rPr>
        <w:t>отовки научно-педагогических ка</w:t>
      </w:r>
      <w:r w:rsidRPr="00420778">
        <w:rPr>
          <w:rFonts w:ascii="Times New Roman" w:hAnsi="Times New Roman" w:cs="Times New Roman"/>
          <w:sz w:val="24"/>
          <w:szCs w:val="24"/>
        </w:rPr>
        <w:t>дров 19 апреля 2011 г. было подписано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сотрудничестве СВФУ с Россий</w:t>
      </w:r>
      <w:r w:rsidRPr="00420778">
        <w:rPr>
          <w:rFonts w:ascii="Times New Roman" w:hAnsi="Times New Roman" w:cs="Times New Roman"/>
          <w:sz w:val="24"/>
          <w:szCs w:val="24"/>
        </w:rPr>
        <w:t>ской государственной академией интеллектуальной собственности (РГАИС, г. Москва). С этого момента СВФУ совместно с РГАИС подготовлено более 120 специалистов по программам повышения квалификации. Обучен</w:t>
      </w:r>
      <w:r>
        <w:rPr>
          <w:rFonts w:ascii="Times New Roman" w:hAnsi="Times New Roman" w:cs="Times New Roman"/>
          <w:sz w:val="24"/>
          <w:szCs w:val="24"/>
        </w:rPr>
        <w:t>ные сотрудники осуществляют кон</w:t>
      </w:r>
      <w:r w:rsidRPr="00420778">
        <w:rPr>
          <w:rFonts w:ascii="Times New Roman" w:hAnsi="Times New Roman" w:cs="Times New Roman"/>
          <w:sz w:val="24"/>
          <w:szCs w:val="24"/>
        </w:rPr>
        <w:t>сультационную и практическую помощь в разработке инновационных предложений и правовой охране технических решений. Разработаны учебные программы по основам интеллектуальной собственности, внедряемые в учебные процессы подразделений СВФУ, поддерживается научная и кружковая работа со студентами.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На постоянной основе поддерживается программа тематических и обучающих семинаров по актуальным вопросам интеллектуа</w:t>
      </w:r>
      <w:r>
        <w:rPr>
          <w:rFonts w:ascii="Times New Roman" w:hAnsi="Times New Roman" w:cs="Times New Roman"/>
          <w:sz w:val="24"/>
          <w:szCs w:val="24"/>
        </w:rPr>
        <w:t>льной собственности по линии со</w:t>
      </w:r>
      <w:r w:rsidRPr="00420778">
        <w:rPr>
          <w:rFonts w:ascii="Times New Roman" w:hAnsi="Times New Roman" w:cs="Times New Roman"/>
          <w:sz w:val="24"/>
          <w:szCs w:val="24"/>
        </w:rPr>
        <w:t>трудничества с Федеральным институтом промышленной собственности Роспатента (ФИПС). Организованы онлайн трансляции с феде</w:t>
      </w:r>
      <w:r>
        <w:rPr>
          <w:rFonts w:ascii="Times New Roman" w:hAnsi="Times New Roman" w:cs="Times New Roman"/>
          <w:sz w:val="24"/>
          <w:szCs w:val="24"/>
        </w:rPr>
        <w:t>ральных конференций в других ре</w:t>
      </w:r>
      <w:r w:rsidRPr="00420778">
        <w:rPr>
          <w:rFonts w:ascii="Times New Roman" w:hAnsi="Times New Roman" w:cs="Times New Roman"/>
          <w:sz w:val="24"/>
          <w:szCs w:val="24"/>
        </w:rPr>
        <w:t>гионах РФ, в т.ч.: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региональной научно-практической конференции «Актуальные вопросы правовой охраны и использования результатов интеллектуальной деятельности» (соорганизатор Автономное учреждение «Технопарк-Мордовия», 18-19 марта 2014 г., г. Саранск);</w:t>
      </w:r>
    </w:p>
    <w:p w:rsidR="00420778" w:rsidRPr="00420778" w:rsidRDefault="00420778" w:rsidP="0042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региональной научно-практической конфер</w:t>
      </w:r>
      <w:r>
        <w:rPr>
          <w:rFonts w:ascii="Times New Roman" w:hAnsi="Times New Roman" w:cs="Times New Roman"/>
          <w:sz w:val="24"/>
          <w:szCs w:val="24"/>
        </w:rPr>
        <w:t>енции «Актуальные вопросы право</w:t>
      </w:r>
      <w:r w:rsidRPr="00420778">
        <w:rPr>
          <w:rFonts w:ascii="Times New Roman" w:hAnsi="Times New Roman" w:cs="Times New Roman"/>
          <w:sz w:val="24"/>
          <w:szCs w:val="24"/>
        </w:rPr>
        <w:t>вой охраны и использования результатов интеллектуальной деятельности и средств индивидуализации» (соорганизатор БелГУ, 28-29 мая 2014 г., г. Белгород).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lastRenderedPageBreak/>
        <w:t>Общее количество участников со стороны СВФУ составило более 40 чел., кроме того, параллельное вещание было организовано для участников в Политехническом институте (филиале) СВФУ в г. Мирном.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Созданная инфраструктура и полученные результаты в сфере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интел</w:t>
      </w:r>
      <w:r w:rsidRPr="00420778">
        <w:rPr>
          <w:rFonts w:ascii="Times New Roman" w:hAnsi="Times New Roman" w:cs="Times New Roman"/>
          <w:sz w:val="24"/>
          <w:szCs w:val="24"/>
        </w:rPr>
        <w:t xml:space="preserve">лектуальной собственностью позволили создать </w:t>
      </w:r>
      <w:r>
        <w:rPr>
          <w:rFonts w:ascii="Times New Roman" w:hAnsi="Times New Roman" w:cs="Times New Roman"/>
          <w:sz w:val="24"/>
          <w:szCs w:val="24"/>
        </w:rPr>
        <w:t>на базе СВФУ по совместному про</w:t>
      </w:r>
      <w:r w:rsidRPr="00420778">
        <w:rPr>
          <w:rFonts w:ascii="Times New Roman" w:hAnsi="Times New Roman" w:cs="Times New Roman"/>
          <w:sz w:val="24"/>
          <w:szCs w:val="24"/>
        </w:rPr>
        <w:t>екту Роспатента и Всемирной организации интеллектуальной собственности (ВОИС) Центр поддержки технологий и инноваций (ЦПТИ) 1-го уровня, который призван стать оплотом эффективного распространения знаний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правовой охраны ре</w:t>
      </w:r>
      <w:r w:rsidRPr="00420778">
        <w:rPr>
          <w:rFonts w:ascii="Times New Roman" w:hAnsi="Times New Roman" w:cs="Times New Roman"/>
          <w:sz w:val="24"/>
          <w:szCs w:val="24"/>
        </w:rPr>
        <w:t>зультатов интеллектуальной деятельности, стимулирования работ по их созданию и эффективному использованию.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Роспатент и ФИПС предоставляют ЦПТИ возможность доступа к информационным ресурсам в области интеллектуальной собственности, оказывают методическую и практическую помощь по вопросам создания, прав</w:t>
      </w:r>
      <w:r>
        <w:rPr>
          <w:rFonts w:ascii="Times New Roman" w:hAnsi="Times New Roman" w:cs="Times New Roman"/>
          <w:sz w:val="24"/>
          <w:szCs w:val="24"/>
        </w:rPr>
        <w:t>овой охраны, вовлечения в хозяй</w:t>
      </w:r>
      <w:r w:rsidRPr="00420778">
        <w:rPr>
          <w:rFonts w:ascii="Times New Roman" w:hAnsi="Times New Roman" w:cs="Times New Roman"/>
          <w:sz w:val="24"/>
          <w:szCs w:val="24"/>
        </w:rPr>
        <w:t xml:space="preserve">ственный оборот результатов научно-технической </w:t>
      </w:r>
      <w:r>
        <w:rPr>
          <w:rFonts w:ascii="Times New Roman" w:hAnsi="Times New Roman" w:cs="Times New Roman"/>
          <w:sz w:val="24"/>
          <w:szCs w:val="24"/>
        </w:rPr>
        <w:t>деятельности и патентно-информа</w:t>
      </w:r>
      <w:r w:rsidRPr="00420778">
        <w:rPr>
          <w:rFonts w:ascii="Times New Roman" w:hAnsi="Times New Roman" w:cs="Times New Roman"/>
          <w:sz w:val="24"/>
          <w:szCs w:val="24"/>
        </w:rPr>
        <w:t>ционного обеспечения, проводят обучени</w:t>
      </w:r>
      <w:r>
        <w:rPr>
          <w:rFonts w:ascii="Times New Roman" w:hAnsi="Times New Roman" w:cs="Times New Roman"/>
          <w:sz w:val="24"/>
          <w:szCs w:val="24"/>
        </w:rPr>
        <w:t>е сотрудников ЦПТИ, содействуют органи</w:t>
      </w:r>
      <w:r w:rsidRPr="00420778">
        <w:rPr>
          <w:rFonts w:ascii="Times New Roman" w:hAnsi="Times New Roman" w:cs="Times New Roman"/>
          <w:sz w:val="24"/>
          <w:szCs w:val="24"/>
        </w:rPr>
        <w:t>зации и проведению в регионах конференций, семинаров и других мероприятий по вопросам интеллектуальной собственности.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В 2014 году по линии деятельности ЦПТИ СВФ</w:t>
      </w:r>
      <w:r>
        <w:rPr>
          <w:rFonts w:ascii="Times New Roman" w:hAnsi="Times New Roman" w:cs="Times New Roman"/>
          <w:sz w:val="24"/>
          <w:szCs w:val="24"/>
        </w:rPr>
        <w:t>У обеспечено электронное взаимо</w:t>
      </w:r>
      <w:r w:rsidRPr="00420778">
        <w:rPr>
          <w:rFonts w:ascii="Times New Roman" w:hAnsi="Times New Roman" w:cs="Times New Roman"/>
          <w:sz w:val="24"/>
          <w:szCs w:val="24"/>
        </w:rPr>
        <w:t>действие с ФИПС при подаче заявок на патентов</w:t>
      </w:r>
      <w:r>
        <w:rPr>
          <w:rFonts w:ascii="Times New Roman" w:hAnsi="Times New Roman" w:cs="Times New Roman"/>
          <w:sz w:val="24"/>
          <w:szCs w:val="24"/>
        </w:rPr>
        <w:t>ание РИД и ведении делопроизвод</w:t>
      </w:r>
      <w:r w:rsidRPr="00420778">
        <w:rPr>
          <w:rFonts w:ascii="Times New Roman" w:hAnsi="Times New Roman" w:cs="Times New Roman"/>
          <w:sz w:val="24"/>
          <w:szCs w:val="24"/>
        </w:rPr>
        <w:t>ства. В связи с этим продолжается практика организации рабочих мест для подачи заявок в электронном виде с оказанием соответств</w:t>
      </w:r>
      <w:r>
        <w:rPr>
          <w:rFonts w:ascii="Times New Roman" w:hAnsi="Times New Roman" w:cs="Times New Roman"/>
          <w:sz w:val="24"/>
          <w:szCs w:val="24"/>
        </w:rPr>
        <w:t>ующей технической и консультаци</w:t>
      </w:r>
      <w:r w:rsidRPr="00420778">
        <w:rPr>
          <w:rFonts w:ascii="Times New Roman" w:hAnsi="Times New Roman" w:cs="Times New Roman"/>
          <w:sz w:val="24"/>
          <w:szCs w:val="24"/>
        </w:rPr>
        <w:t>онной помощи центрам сотрудниками ФИПС.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lastRenderedPageBreak/>
        <w:t>В рамках программы дальнейшего развития российской сети ЦПТИ в декабре 2014 года созданы ЦПТИ 2-го уровня в филиалах СВФУ в гг. Мирном и Нерюнгри.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Директор ЦИС СВФУ Винокуров А.А. выступил</w:t>
      </w:r>
      <w:r>
        <w:rPr>
          <w:rFonts w:ascii="Times New Roman" w:hAnsi="Times New Roman" w:cs="Times New Roman"/>
          <w:sz w:val="24"/>
          <w:szCs w:val="24"/>
        </w:rPr>
        <w:t xml:space="preserve"> соавтором монографии ФИПС «Цен</w:t>
      </w:r>
      <w:r w:rsidRPr="00420778">
        <w:rPr>
          <w:rFonts w:ascii="Times New Roman" w:hAnsi="Times New Roman" w:cs="Times New Roman"/>
          <w:sz w:val="24"/>
          <w:szCs w:val="24"/>
        </w:rPr>
        <w:t>тры поддержки технологий и инноваций - информационная инфраструктура системы процессов создания конкурентоспособной научно-технической продукции в России».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Среди выставочных мероприятий, проходящих</w:t>
      </w:r>
      <w:r>
        <w:rPr>
          <w:rFonts w:ascii="Times New Roman" w:hAnsi="Times New Roman" w:cs="Times New Roman"/>
          <w:sz w:val="24"/>
          <w:szCs w:val="24"/>
        </w:rPr>
        <w:t xml:space="preserve"> под патронажем ВОИС и Роспатен</w:t>
      </w:r>
      <w:r w:rsidRPr="00420778">
        <w:rPr>
          <w:rFonts w:ascii="Times New Roman" w:hAnsi="Times New Roman" w:cs="Times New Roman"/>
          <w:sz w:val="24"/>
          <w:szCs w:val="24"/>
        </w:rPr>
        <w:t>та, известен Международный Салон изобретений и инновацио</w:t>
      </w:r>
      <w:r>
        <w:rPr>
          <w:rFonts w:ascii="Times New Roman" w:hAnsi="Times New Roman" w:cs="Times New Roman"/>
          <w:sz w:val="24"/>
          <w:szCs w:val="24"/>
        </w:rPr>
        <w:t>нных технологий «Ар</w:t>
      </w:r>
      <w:r w:rsidRPr="00420778">
        <w:rPr>
          <w:rFonts w:ascii="Times New Roman" w:hAnsi="Times New Roman" w:cs="Times New Roman"/>
          <w:sz w:val="24"/>
          <w:szCs w:val="24"/>
        </w:rPr>
        <w:t>химед», в котором ежегодно выставляются около 700-800 экспонатов в самых разных отраслях, разработанных учеными и специалистами из более 40 регионов России и десятка зарубежных стран.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 1 по 4 апреля 2014 года СВФУ впервые принял участие в XVII Международном салоне изобретений и инновационных технологи</w:t>
      </w:r>
      <w:r>
        <w:rPr>
          <w:rFonts w:ascii="Times New Roman" w:hAnsi="Times New Roman" w:cs="Times New Roman"/>
          <w:sz w:val="24"/>
          <w:szCs w:val="24"/>
        </w:rPr>
        <w:t>й «Архимед-2014», где были пред</w:t>
      </w:r>
      <w:r w:rsidRPr="00420778">
        <w:rPr>
          <w:rFonts w:ascii="Times New Roman" w:hAnsi="Times New Roman" w:cs="Times New Roman"/>
          <w:sz w:val="24"/>
          <w:szCs w:val="24"/>
        </w:rPr>
        <w:t>ставлены разработки в области биотехнологий, гр</w:t>
      </w:r>
      <w:r>
        <w:rPr>
          <w:rFonts w:ascii="Times New Roman" w:hAnsi="Times New Roman" w:cs="Times New Roman"/>
          <w:sz w:val="24"/>
          <w:szCs w:val="24"/>
        </w:rPr>
        <w:t>афеновых и полимерных нанотехно</w:t>
      </w:r>
      <w:r w:rsidRPr="00420778">
        <w:rPr>
          <w:rFonts w:ascii="Times New Roman" w:hAnsi="Times New Roman" w:cs="Times New Roman"/>
          <w:sz w:val="24"/>
          <w:szCs w:val="24"/>
        </w:rPr>
        <w:t>логий, геологоразведочного оборудования, пищевой промышленности.</w:t>
      </w: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По итогам участия в Салоне «Архимед» СВФУ отмечен Кубком региона за вклад в развитие изобретательства и рационализаторства, авторы разработок награждены</w:t>
      </w:r>
      <w:r>
        <w:rPr>
          <w:rFonts w:ascii="Times New Roman" w:hAnsi="Times New Roman" w:cs="Times New Roman"/>
          <w:sz w:val="24"/>
          <w:szCs w:val="24"/>
        </w:rPr>
        <w:t xml:space="preserve"> медалями выставки. </w:t>
      </w: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На базе СВФУ 03-04 июня 2014 г. проведен науч</w:t>
      </w:r>
      <w:r>
        <w:rPr>
          <w:rFonts w:ascii="Times New Roman" w:hAnsi="Times New Roman" w:cs="Times New Roman"/>
          <w:sz w:val="24"/>
          <w:szCs w:val="24"/>
        </w:rPr>
        <w:t>но-практический семинар с между</w:t>
      </w:r>
      <w:r w:rsidRPr="00420778">
        <w:rPr>
          <w:rFonts w:ascii="Times New Roman" w:hAnsi="Times New Roman" w:cs="Times New Roman"/>
          <w:sz w:val="24"/>
          <w:szCs w:val="24"/>
        </w:rPr>
        <w:t>народным участием «Интеллектуальная собственность в условиях инновационного развития».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Семинар проведен совместно с ФИПС при поддержке ВОИС, в котором приняли участие более 80 специалистов, представляющие го</w:t>
      </w:r>
      <w:r>
        <w:rPr>
          <w:rFonts w:ascii="Times New Roman" w:hAnsi="Times New Roman" w:cs="Times New Roman"/>
          <w:sz w:val="24"/>
          <w:szCs w:val="24"/>
        </w:rPr>
        <w:t>с. структуры, общественные орга</w:t>
      </w:r>
      <w:r w:rsidRPr="00420778">
        <w:rPr>
          <w:rFonts w:ascii="Times New Roman" w:hAnsi="Times New Roman" w:cs="Times New Roman"/>
          <w:sz w:val="24"/>
          <w:szCs w:val="24"/>
        </w:rPr>
        <w:t>низации, вузы, НИИ, промышленные предприятия, информацион</w:t>
      </w:r>
      <w:r>
        <w:rPr>
          <w:rFonts w:ascii="Times New Roman" w:hAnsi="Times New Roman" w:cs="Times New Roman"/>
          <w:sz w:val="24"/>
          <w:szCs w:val="24"/>
        </w:rPr>
        <w:t>ные центры, юриди</w:t>
      </w:r>
      <w:r w:rsidRPr="00420778">
        <w:rPr>
          <w:rFonts w:ascii="Times New Roman" w:hAnsi="Times New Roman" w:cs="Times New Roman"/>
          <w:sz w:val="24"/>
          <w:szCs w:val="24"/>
        </w:rPr>
        <w:t xml:space="preserve">ческие компании РС (Я). </w:t>
      </w:r>
      <w:r w:rsidRPr="00420778">
        <w:rPr>
          <w:rFonts w:ascii="Times New Roman" w:hAnsi="Times New Roman" w:cs="Times New Roman"/>
          <w:sz w:val="24"/>
          <w:szCs w:val="24"/>
        </w:rPr>
        <w:lastRenderedPageBreak/>
        <w:t>В качестве слушателей также были приглашены аспиранты и студенты ЮФ СВФУ.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 докладами выступили работники организа</w:t>
      </w:r>
      <w:r>
        <w:rPr>
          <w:rFonts w:ascii="Times New Roman" w:hAnsi="Times New Roman" w:cs="Times New Roman"/>
          <w:sz w:val="24"/>
          <w:szCs w:val="24"/>
        </w:rPr>
        <w:t>ций научно-образовательного сек</w:t>
      </w:r>
      <w:r w:rsidRPr="00420778">
        <w:rPr>
          <w:rFonts w:ascii="Times New Roman" w:hAnsi="Times New Roman" w:cs="Times New Roman"/>
          <w:sz w:val="24"/>
          <w:szCs w:val="24"/>
        </w:rPr>
        <w:t>тора, патентные поверенные РФ и США, патентоведы, специалисты в обла</w:t>
      </w:r>
      <w:r>
        <w:rPr>
          <w:rFonts w:ascii="Times New Roman" w:hAnsi="Times New Roman" w:cs="Times New Roman"/>
          <w:sz w:val="24"/>
          <w:szCs w:val="24"/>
        </w:rPr>
        <w:t>сти ин</w:t>
      </w:r>
      <w:r w:rsidRPr="00420778">
        <w:rPr>
          <w:rFonts w:ascii="Times New Roman" w:hAnsi="Times New Roman" w:cs="Times New Roman"/>
          <w:sz w:val="24"/>
          <w:szCs w:val="24"/>
        </w:rPr>
        <w:t>теллектуальной собственности из городов: Якутск, Хабаровск, Мирный, Нерюнгри. Заинтересованность в работе семинара выразили Тихоокеанский государственный университет, Иркутский государственный универ</w:t>
      </w:r>
      <w:r>
        <w:rPr>
          <w:rFonts w:ascii="Times New Roman" w:hAnsi="Times New Roman" w:cs="Times New Roman"/>
          <w:sz w:val="24"/>
          <w:szCs w:val="24"/>
        </w:rPr>
        <w:t>ситет, Дальневосточный федераль</w:t>
      </w:r>
      <w:r w:rsidRPr="00420778">
        <w:rPr>
          <w:rFonts w:ascii="Times New Roman" w:hAnsi="Times New Roman" w:cs="Times New Roman"/>
          <w:sz w:val="24"/>
          <w:szCs w:val="24"/>
        </w:rPr>
        <w:t>ный университет.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Известно, что наиболее успешная реализация функций объектов интеллектуальной собственности может быть решена сформированной организационной структурой в рамках единой политики интеллектуальной собственности университета посредством локальных документов: концепции, положений, д</w:t>
      </w:r>
      <w:r>
        <w:rPr>
          <w:rFonts w:ascii="Times New Roman" w:hAnsi="Times New Roman" w:cs="Times New Roman"/>
          <w:sz w:val="24"/>
          <w:szCs w:val="24"/>
        </w:rPr>
        <w:t>олжностных инструкций, регламен</w:t>
      </w:r>
      <w:r w:rsidRPr="00420778">
        <w:rPr>
          <w:rFonts w:ascii="Times New Roman" w:hAnsi="Times New Roman" w:cs="Times New Roman"/>
          <w:sz w:val="24"/>
          <w:szCs w:val="24"/>
        </w:rPr>
        <w:t>тов. Эффективность же системы управления интеллектуальной собственности зависит от уровня организации патентной политики и инфраструктуры для создания, правовой охраны, оценки и учета, защиты прав и коммерци</w:t>
      </w:r>
      <w:r>
        <w:rPr>
          <w:rFonts w:ascii="Times New Roman" w:hAnsi="Times New Roman" w:cs="Times New Roman"/>
          <w:sz w:val="24"/>
          <w:szCs w:val="24"/>
        </w:rPr>
        <w:t>ализации результатов интеллекту</w:t>
      </w:r>
      <w:r w:rsidRPr="00420778">
        <w:rPr>
          <w:rFonts w:ascii="Times New Roman" w:hAnsi="Times New Roman" w:cs="Times New Roman"/>
          <w:sz w:val="24"/>
          <w:szCs w:val="24"/>
        </w:rPr>
        <w:t>альной деятельности.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16-17 декабря 2014 г. в СВФУ проведены семин</w:t>
      </w:r>
      <w:r>
        <w:rPr>
          <w:rFonts w:ascii="Times New Roman" w:hAnsi="Times New Roman" w:cs="Times New Roman"/>
          <w:sz w:val="24"/>
          <w:szCs w:val="24"/>
        </w:rPr>
        <w:t>ары для заведующих кафедр, руко</w:t>
      </w:r>
      <w:r w:rsidRPr="00420778">
        <w:rPr>
          <w:rFonts w:ascii="Times New Roman" w:hAnsi="Times New Roman" w:cs="Times New Roman"/>
          <w:sz w:val="24"/>
          <w:szCs w:val="24"/>
        </w:rPr>
        <w:t>водителей подразделений по научной и инноваци</w:t>
      </w:r>
      <w:r>
        <w:rPr>
          <w:rFonts w:ascii="Times New Roman" w:hAnsi="Times New Roman" w:cs="Times New Roman"/>
          <w:sz w:val="24"/>
          <w:szCs w:val="24"/>
        </w:rPr>
        <w:t>онной работе, начальников управ</w:t>
      </w:r>
      <w:r w:rsidRPr="00420778">
        <w:rPr>
          <w:rFonts w:ascii="Times New Roman" w:hAnsi="Times New Roman" w:cs="Times New Roman"/>
          <w:sz w:val="24"/>
          <w:szCs w:val="24"/>
        </w:rPr>
        <w:t>лений и департаментов, профильных проректоров вуза. Тематика семинаров связана с практическими инструментами формирования с</w:t>
      </w:r>
      <w:r>
        <w:rPr>
          <w:rFonts w:ascii="Times New Roman" w:hAnsi="Times New Roman" w:cs="Times New Roman"/>
          <w:sz w:val="24"/>
          <w:szCs w:val="24"/>
        </w:rPr>
        <w:t>истемы управления интеллектуаль</w:t>
      </w:r>
      <w:r w:rsidRPr="00420778">
        <w:rPr>
          <w:rFonts w:ascii="Times New Roman" w:hAnsi="Times New Roman" w:cs="Times New Roman"/>
          <w:sz w:val="24"/>
          <w:szCs w:val="24"/>
        </w:rPr>
        <w:t>ной собственностью.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 целью формирования новой системы управ</w:t>
      </w:r>
      <w:r>
        <w:rPr>
          <w:rFonts w:ascii="Times New Roman" w:hAnsi="Times New Roman" w:cs="Times New Roman"/>
          <w:sz w:val="24"/>
          <w:szCs w:val="24"/>
        </w:rPr>
        <w:t>ления интеллектуальной собствен</w:t>
      </w:r>
      <w:r w:rsidRPr="00420778">
        <w:rPr>
          <w:rFonts w:ascii="Times New Roman" w:hAnsi="Times New Roman" w:cs="Times New Roman"/>
          <w:sz w:val="24"/>
          <w:szCs w:val="24"/>
        </w:rPr>
        <w:t xml:space="preserve">ностью в СВФУ проведены аналитические исследования организационной работы по обеспечению правовой охраны РИД, по итогам которых следует, что в университете достаточно </w:t>
      </w:r>
      <w:r w:rsidRPr="00420778">
        <w:rPr>
          <w:rFonts w:ascii="Times New Roman" w:hAnsi="Times New Roman" w:cs="Times New Roman"/>
          <w:sz w:val="24"/>
          <w:szCs w:val="24"/>
        </w:rPr>
        <w:lastRenderedPageBreak/>
        <w:t>развита инновационная деятельность и имеется большой задел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78">
        <w:rPr>
          <w:rFonts w:ascii="Times New Roman" w:hAnsi="Times New Roman" w:cs="Times New Roman"/>
          <w:sz w:val="24"/>
          <w:szCs w:val="24"/>
        </w:rPr>
        <w:t>управления РИД, что позволяет вузу на протяжении последних нескольких лет быть одним из ведущих российских университетов.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Анализ РИД СВФУ свидетельствует о положительной динамике изобретательской активности научных работников, профессорско-преподавательского соста</w:t>
      </w:r>
      <w:r>
        <w:rPr>
          <w:rFonts w:ascii="Times New Roman" w:hAnsi="Times New Roman" w:cs="Times New Roman"/>
          <w:sz w:val="24"/>
          <w:szCs w:val="24"/>
        </w:rPr>
        <w:t>ва и обучаю</w:t>
      </w:r>
      <w:r w:rsidRPr="00420778">
        <w:rPr>
          <w:rFonts w:ascii="Times New Roman" w:hAnsi="Times New Roman" w:cs="Times New Roman"/>
          <w:sz w:val="24"/>
          <w:szCs w:val="24"/>
        </w:rPr>
        <w:t>щихся. При этом следует уделять внимание к вопросам мотивации и стимулирования творческой деятельности, необходимо развивать с</w:t>
      </w:r>
      <w:r>
        <w:rPr>
          <w:rFonts w:ascii="Times New Roman" w:hAnsi="Times New Roman" w:cs="Times New Roman"/>
          <w:sz w:val="24"/>
          <w:szCs w:val="24"/>
        </w:rPr>
        <w:t>истему внутривузовских мероприя</w:t>
      </w:r>
      <w:r w:rsidRPr="00420778">
        <w:rPr>
          <w:rFonts w:ascii="Times New Roman" w:hAnsi="Times New Roman" w:cs="Times New Roman"/>
          <w:sz w:val="24"/>
          <w:szCs w:val="24"/>
        </w:rPr>
        <w:t>тий, способствующих развитию инновационной процессов в вузе.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Основные рекомендации для решения пробл</w:t>
      </w:r>
      <w:r>
        <w:rPr>
          <w:rFonts w:ascii="Times New Roman" w:hAnsi="Times New Roman" w:cs="Times New Roman"/>
          <w:sz w:val="24"/>
          <w:szCs w:val="24"/>
        </w:rPr>
        <w:t>емных вопросов, являющихся сдер</w:t>
      </w:r>
      <w:r w:rsidRPr="00420778">
        <w:rPr>
          <w:rFonts w:ascii="Times New Roman" w:hAnsi="Times New Roman" w:cs="Times New Roman"/>
          <w:sz w:val="24"/>
          <w:szCs w:val="24"/>
        </w:rPr>
        <w:t>живающими факторами: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разработка локальной документации политики интеллектуальной собственности в комплексном аспекте, с учетом работы по всем направлениям вновь создаваемой системы;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подготовка и сохранение кадрового ресурса по интеллектуальной собственности;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развитие культуры в сфере интеллектуальной собственности, искореняющего факты недопонимания вопросов обеспечения правовой охраны РИД и, как следствие, неправильного распределения рабочего времени;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внедрение системы стимулирования и мотивации авторов;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решение вопросов по обеспечению интег</w:t>
      </w:r>
      <w:r>
        <w:rPr>
          <w:rFonts w:ascii="Times New Roman" w:hAnsi="Times New Roman" w:cs="Times New Roman"/>
          <w:sz w:val="24"/>
          <w:szCs w:val="24"/>
        </w:rPr>
        <w:t>рационных связей между подразде</w:t>
      </w:r>
      <w:r w:rsidRPr="00420778">
        <w:rPr>
          <w:rFonts w:ascii="Times New Roman" w:hAnsi="Times New Roman" w:cs="Times New Roman"/>
          <w:sz w:val="24"/>
          <w:szCs w:val="24"/>
        </w:rPr>
        <w:t>лениями СВФУ, что способствует полноценному взаимодействию организационных структур университета в области выявления, правовой охраны</w:t>
      </w:r>
      <w:r>
        <w:rPr>
          <w:rFonts w:ascii="Times New Roman" w:hAnsi="Times New Roman" w:cs="Times New Roman"/>
          <w:sz w:val="24"/>
          <w:szCs w:val="24"/>
        </w:rPr>
        <w:t>, защиты и коммерци</w:t>
      </w:r>
      <w:r w:rsidRPr="00420778">
        <w:rPr>
          <w:rFonts w:ascii="Times New Roman" w:hAnsi="Times New Roman" w:cs="Times New Roman"/>
          <w:sz w:val="24"/>
          <w:szCs w:val="24"/>
        </w:rPr>
        <w:t>ализации РИД.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lastRenderedPageBreak/>
        <w:t>Таким образом, вновь создаваемая система интеллектуальной собственности СВФУ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78">
        <w:rPr>
          <w:rFonts w:ascii="Times New Roman" w:hAnsi="Times New Roman" w:cs="Times New Roman"/>
          <w:sz w:val="24"/>
          <w:szCs w:val="24"/>
        </w:rPr>
        <w:t>основана на следующих основных направлениях работы: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кадровое обеспечение, подготовка специали</w:t>
      </w:r>
      <w:r>
        <w:rPr>
          <w:rFonts w:ascii="Times New Roman" w:hAnsi="Times New Roman" w:cs="Times New Roman"/>
          <w:sz w:val="24"/>
          <w:szCs w:val="24"/>
        </w:rPr>
        <w:t>стов по всем направлениям управ</w:t>
      </w:r>
      <w:r w:rsidRPr="00420778">
        <w:rPr>
          <w:rFonts w:ascii="Times New Roman" w:hAnsi="Times New Roman" w:cs="Times New Roman"/>
          <w:sz w:val="24"/>
          <w:szCs w:val="24"/>
        </w:rPr>
        <w:t>ления знаниями;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научно-практическое, нормативное и информационное обеспечение процессов в сфере научной и инновационной деятельности;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организация и проведение научных работ по формированию системы управления интеллектуальной собственности;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практика проектной деятельности по внесен</w:t>
      </w:r>
      <w:r>
        <w:rPr>
          <w:rFonts w:ascii="Times New Roman" w:hAnsi="Times New Roman" w:cs="Times New Roman"/>
          <w:sz w:val="24"/>
          <w:szCs w:val="24"/>
        </w:rPr>
        <w:t>ию предложений в нормативно-пра</w:t>
      </w:r>
      <w:r w:rsidRPr="00420778">
        <w:rPr>
          <w:rFonts w:ascii="Times New Roman" w:hAnsi="Times New Roman" w:cs="Times New Roman"/>
          <w:sz w:val="24"/>
          <w:szCs w:val="24"/>
        </w:rPr>
        <w:t>вовую базу по интеллектуальной собственности, в том числе на региональном уровне;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налаживание и дальнейшее развитие сотрудн</w:t>
      </w:r>
      <w:r>
        <w:rPr>
          <w:rFonts w:ascii="Times New Roman" w:hAnsi="Times New Roman" w:cs="Times New Roman"/>
          <w:sz w:val="24"/>
          <w:szCs w:val="24"/>
        </w:rPr>
        <w:t>ичества с российскими и междуна</w:t>
      </w:r>
      <w:r w:rsidRPr="00420778">
        <w:rPr>
          <w:rFonts w:ascii="Times New Roman" w:hAnsi="Times New Roman" w:cs="Times New Roman"/>
          <w:sz w:val="24"/>
          <w:szCs w:val="24"/>
        </w:rPr>
        <w:t>родными организациями;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-</w:t>
      </w:r>
      <w:r w:rsidRPr="00420778">
        <w:rPr>
          <w:rFonts w:ascii="Times New Roman" w:hAnsi="Times New Roman" w:cs="Times New Roman"/>
          <w:sz w:val="24"/>
          <w:szCs w:val="24"/>
        </w:rPr>
        <w:tab/>
        <w:t>организация и проведение мероприятий по распространению и популяризации знаний по вопросам правовой охраны и использования РИД.</w:t>
      </w:r>
    </w:p>
    <w:p w:rsidR="00420778" w:rsidRP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53AE32EA" wp14:editId="5CE42AB9">
            <wp:extent cx="4550979" cy="2532380"/>
            <wp:effectExtent l="0" t="0" r="2540" b="1270"/>
            <wp:docPr id="1" name="Рисунок 3" descr="C:\Users\Apo5a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o5a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07" cy="25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Динамика патентования изобретений СВФУ</w:t>
      </w:r>
    </w:p>
    <w:p w:rsidR="00420778" w:rsidRP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Ресурсное обеспечение системы управления ин</w:t>
      </w:r>
      <w:r>
        <w:rPr>
          <w:rFonts w:ascii="Times New Roman" w:hAnsi="Times New Roman" w:cs="Times New Roman"/>
          <w:sz w:val="24"/>
          <w:szCs w:val="24"/>
        </w:rPr>
        <w:t>теллектуальной собственности по</w:t>
      </w:r>
      <w:r w:rsidRPr="00420778">
        <w:rPr>
          <w:rFonts w:ascii="Times New Roman" w:hAnsi="Times New Roman" w:cs="Times New Roman"/>
          <w:sz w:val="24"/>
          <w:szCs w:val="24"/>
        </w:rPr>
        <w:t>зволило достичь и сохранить положительную динамику развития изобретательской активности университета. В период с 2010 по 2014 гг</w:t>
      </w:r>
      <w:r>
        <w:rPr>
          <w:rFonts w:ascii="Times New Roman" w:hAnsi="Times New Roman" w:cs="Times New Roman"/>
          <w:sz w:val="24"/>
          <w:szCs w:val="24"/>
        </w:rPr>
        <w:t>. достигнуто 80-кратное увеличе</w:t>
      </w:r>
      <w:r w:rsidRPr="00420778">
        <w:rPr>
          <w:rFonts w:ascii="Times New Roman" w:hAnsi="Times New Roman" w:cs="Times New Roman"/>
          <w:sz w:val="24"/>
          <w:szCs w:val="24"/>
        </w:rPr>
        <w:t xml:space="preserve">ние показателей изобретательской активности, а </w:t>
      </w:r>
      <w:r>
        <w:rPr>
          <w:rFonts w:ascii="Times New Roman" w:hAnsi="Times New Roman" w:cs="Times New Roman"/>
          <w:sz w:val="24"/>
          <w:szCs w:val="24"/>
        </w:rPr>
        <w:t>именно, количество РИД, получив</w:t>
      </w:r>
      <w:r w:rsidRPr="00420778">
        <w:rPr>
          <w:rFonts w:ascii="Times New Roman" w:hAnsi="Times New Roman" w:cs="Times New Roman"/>
          <w:sz w:val="24"/>
          <w:szCs w:val="24"/>
        </w:rPr>
        <w:t>ших правовую охрану, составляет 161 ед. (в т.ч. в 2014 г. - 38), из них - 2 зарубежных патента на изобретения; количество поданных заявок на выдачу охранных документов - 145 ед., (в т.ч. в 2014 г. - 40). Более половины РИД получили коммерческую оценку и используются как в собственном производстве, так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инновацион</w:t>
      </w:r>
      <w:r w:rsidRPr="00420778">
        <w:rPr>
          <w:rFonts w:ascii="Times New Roman" w:hAnsi="Times New Roman" w:cs="Times New Roman"/>
          <w:sz w:val="24"/>
          <w:szCs w:val="24"/>
        </w:rPr>
        <w:t>ного предпринимательства.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Изобретения вуза получают высокую эксперт</w:t>
      </w:r>
      <w:r>
        <w:rPr>
          <w:rFonts w:ascii="Times New Roman" w:hAnsi="Times New Roman" w:cs="Times New Roman"/>
          <w:sz w:val="24"/>
          <w:szCs w:val="24"/>
        </w:rPr>
        <w:t>ную оценку экспертов международ</w:t>
      </w:r>
      <w:r w:rsidRPr="00420778">
        <w:rPr>
          <w:rFonts w:ascii="Times New Roman" w:hAnsi="Times New Roman" w:cs="Times New Roman"/>
          <w:sz w:val="24"/>
          <w:szCs w:val="24"/>
        </w:rPr>
        <w:t>ных конкурсных комиссий, а совместная разработка с Институтом проблем нефти и газа СО РАН «Морозостойкая резина на основе про</w:t>
      </w:r>
      <w:r>
        <w:rPr>
          <w:rFonts w:ascii="Times New Roman" w:hAnsi="Times New Roman" w:cs="Times New Roman"/>
          <w:sz w:val="24"/>
          <w:szCs w:val="24"/>
        </w:rPr>
        <w:t>пиленоксидного каучука и природ</w:t>
      </w:r>
      <w:r w:rsidRPr="00420778">
        <w:rPr>
          <w:rFonts w:ascii="Times New Roman" w:hAnsi="Times New Roman" w:cs="Times New Roman"/>
          <w:sz w:val="24"/>
          <w:szCs w:val="24"/>
        </w:rPr>
        <w:t>ных бентонитов» (соавторы Петрова Н.Н. и Портнягина В.В.) вошла в число 100 лучших изобретений России 2013 года по версии Роспатента.</w:t>
      </w: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По направлению развития международного сотрудничества и зарубежного па</w:t>
      </w:r>
      <w:r>
        <w:rPr>
          <w:rFonts w:ascii="Times New Roman" w:hAnsi="Times New Roman" w:cs="Times New Roman"/>
          <w:sz w:val="24"/>
          <w:szCs w:val="24"/>
        </w:rPr>
        <w:t>тен</w:t>
      </w:r>
      <w:r w:rsidRPr="00420778">
        <w:rPr>
          <w:rFonts w:ascii="Times New Roman" w:hAnsi="Times New Roman" w:cs="Times New Roman"/>
          <w:sz w:val="24"/>
          <w:szCs w:val="24"/>
        </w:rPr>
        <w:t>тования изобретений в 2014 году СВФУ получены 2 патента США.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В 2014 году с учетом имеющегося высокого инновационного потенциала вуза было принято решение о сертификации СВФУ и его включение в члены Российской сети трансфера технологий (РСТТ-RTTN (Russian Technology Transfer Network)).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 xml:space="preserve">РСТТ создана в 2002 г. по инициативе двух инновационных центров из Обнинска и Кольцово. Сейчас она объединяет более 50 инновационных центров из 40 регионов России и стран СНГ, </w:t>
      </w:r>
      <w:r w:rsidRPr="00420778">
        <w:rPr>
          <w:rFonts w:ascii="Times New Roman" w:hAnsi="Times New Roman" w:cs="Times New Roman"/>
          <w:sz w:val="24"/>
          <w:szCs w:val="24"/>
        </w:rPr>
        <w:lastRenderedPageBreak/>
        <w:t>специализирующихся в сфере трансфера технологий. Сеть - это инструмент национальной и региональной иннова</w:t>
      </w:r>
      <w:r>
        <w:rPr>
          <w:rFonts w:ascii="Times New Roman" w:hAnsi="Times New Roman" w:cs="Times New Roman"/>
          <w:sz w:val="24"/>
          <w:szCs w:val="24"/>
        </w:rPr>
        <w:t>ционной инфраструктуры, позволя</w:t>
      </w:r>
      <w:r w:rsidRPr="00420778">
        <w:rPr>
          <w:rFonts w:ascii="Times New Roman" w:hAnsi="Times New Roman" w:cs="Times New Roman"/>
          <w:sz w:val="24"/>
          <w:szCs w:val="24"/>
        </w:rPr>
        <w:t>ющий эффективно распространять технологическ</w:t>
      </w:r>
      <w:r>
        <w:rPr>
          <w:rFonts w:ascii="Times New Roman" w:hAnsi="Times New Roman" w:cs="Times New Roman"/>
          <w:sz w:val="24"/>
          <w:szCs w:val="24"/>
        </w:rPr>
        <w:t>ую информацию и осуществлять по</w:t>
      </w:r>
      <w:r w:rsidRPr="00420778">
        <w:rPr>
          <w:rFonts w:ascii="Times New Roman" w:hAnsi="Times New Roman" w:cs="Times New Roman"/>
          <w:sz w:val="24"/>
          <w:szCs w:val="24"/>
        </w:rPr>
        <w:t>иск партнеров для реализации инновационных проектов (www.rttn.ru). Координацию сети РСТТ осуществляет некоммерческое партнерство «Российская се</w:t>
      </w:r>
      <w:r>
        <w:rPr>
          <w:rFonts w:ascii="Times New Roman" w:hAnsi="Times New Roman" w:cs="Times New Roman"/>
          <w:sz w:val="24"/>
          <w:szCs w:val="24"/>
        </w:rPr>
        <w:t>ть трансфера тех</w:t>
      </w:r>
      <w:r w:rsidRPr="00420778">
        <w:rPr>
          <w:rFonts w:ascii="Times New Roman" w:hAnsi="Times New Roman" w:cs="Times New Roman"/>
          <w:sz w:val="24"/>
          <w:szCs w:val="24"/>
        </w:rPr>
        <w:t>нологий» (НП RTTN).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Важнейшим конкурентным преимуществом РСТ</w:t>
      </w:r>
      <w:r>
        <w:rPr>
          <w:rFonts w:ascii="Times New Roman" w:hAnsi="Times New Roman" w:cs="Times New Roman"/>
          <w:sz w:val="24"/>
          <w:szCs w:val="24"/>
        </w:rPr>
        <w:t>Т является использование адапти</w:t>
      </w:r>
      <w:r w:rsidRPr="00420778">
        <w:rPr>
          <w:rFonts w:ascii="Times New Roman" w:hAnsi="Times New Roman" w:cs="Times New Roman"/>
          <w:sz w:val="24"/>
          <w:szCs w:val="24"/>
        </w:rPr>
        <w:t>рованной европейской методологии трансфера те</w:t>
      </w:r>
      <w:r>
        <w:rPr>
          <w:rFonts w:ascii="Times New Roman" w:hAnsi="Times New Roman" w:cs="Times New Roman"/>
          <w:sz w:val="24"/>
          <w:szCs w:val="24"/>
        </w:rPr>
        <w:t>хнологий, что позволяет осущест</w:t>
      </w:r>
      <w:r w:rsidRPr="00420778">
        <w:rPr>
          <w:rFonts w:ascii="Times New Roman" w:hAnsi="Times New Roman" w:cs="Times New Roman"/>
          <w:sz w:val="24"/>
          <w:szCs w:val="24"/>
        </w:rPr>
        <w:t>влять трансфер технологий не только в национальном масштабе (межрегиональный трансфер), но и на международном уровне.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С 2008 года НП RTTN является официальным участником самой крупной в мире Европейской сети поддержки предпринимательства Enterprise Europe Network - EEN. В рамках консорциума EEN - Россия, НП RTTN координирует блок услуг для российских и европейских компаний по транснациональному трансферу технологий. Это позволяет распространять технологическую информацию и находить потенциальных партнеров в 50 странах мира - участниках сети. </w:t>
      </w: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Возможности РСТТ могут быть использованы С</w:t>
      </w:r>
      <w:r>
        <w:rPr>
          <w:rFonts w:ascii="Times New Roman" w:hAnsi="Times New Roman" w:cs="Times New Roman"/>
          <w:sz w:val="24"/>
          <w:szCs w:val="24"/>
        </w:rPr>
        <w:t>ВФУ в качестве одного из важней</w:t>
      </w:r>
      <w:r w:rsidRPr="00420778">
        <w:rPr>
          <w:rFonts w:ascii="Times New Roman" w:hAnsi="Times New Roman" w:cs="Times New Roman"/>
          <w:sz w:val="24"/>
          <w:szCs w:val="24"/>
        </w:rPr>
        <w:t>ших инструментов для дальнейшего развития научно-инновационной деятельности, основанной на продвижении как собственных, так и внедрению новейших разработок партнеров сети.</w:t>
      </w:r>
    </w:p>
    <w:p w:rsidR="00420778" w:rsidRP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78">
        <w:rPr>
          <w:rFonts w:ascii="Times New Roman" w:hAnsi="Times New Roman" w:cs="Times New Roman"/>
          <w:b/>
          <w:sz w:val="24"/>
          <w:szCs w:val="24"/>
        </w:rPr>
        <w:t>Поддержка индикаторных показателей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03"/>
        <w:gridCol w:w="643"/>
        <w:gridCol w:w="634"/>
        <w:gridCol w:w="643"/>
        <w:gridCol w:w="634"/>
        <w:gridCol w:w="643"/>
        <w:gridCol w:w="972"/>
      </w:tblGrid>
      <w:tr w:rsidR="00420778" w:rsidRPr="00420778" w:rsidTr="0042077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Наименование инди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ind w:left="14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Единица</w:t>
            </w:r>
          </w:p>
          <w:p w:rsidR="00420778" w:rsidRPr="00420778" w:rsidRDefault="00420778" w:rsidP="00420778">
            <w:pPr>
              <w:widowControl w:val="0"/>
              <w:spacing w:after="0" w:line="216" w:lineRule="exact"/>
              <w:ind w:left="14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измере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2012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2013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2014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Из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мен.,</w:t>
            </w:r>
          </w:p>
          <w:p w:rsidR="00420778" w:rsidRPr="00420778" w:rsidRDefault="00420778" w:rsidP="00420778">
            <w:pPr>
              <w:widowControl w:val="0"/>
              <w:spacing w:after="0" w:line="216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%</w:t>
            </w:r>
          </w:p>
        </w:tc>
      </w:tr>
      <w:tr w:rsidR="00420778" w:rsidRPr="00420778" w:rsidTr="0042077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ind w:left="14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план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факт.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ind w:left="14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план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факт.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ind w:left="14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план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факт.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420778" w:rsidRPr="00420778" w:rsidTr="0042077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lastRenderedPageBreak/>
              <w:t>Количество поданных заявок на объекты про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мышленной собствен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ности и авторского</w:t>
            </w:r>
          </w:p>
          <w:p w:rsidR="00420778" w:rsidRPr="00420778" w:rsidRDefault="00420778" w:rsidP="00420778">
            <w:pPr>
              <w:widowControl w:val="0"/>
              <w:spacing w:after="0" w:line="216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един.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ind w:right="22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+ 148,1</w:t>
            </w:r>
          </w:p>
        </w:tc>
      </w:tr>
      <w:tr w:rsidR="00420778" w:rsidRPr="00420778" w:rsidTr="0042077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Количество получен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ных охранных доку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ментов на объекты интеллектуальной соб</w:t>
            </w: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един.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ind w:right="220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+ 154,5</w:t>
            </w:r>
          </w:p>
        </w:tc>
      </w:tr>
    </w:tbl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778" w:rsidRDefault="00420778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78">
        <w:rPr>
          <w:rFonts w:ascii="Times New Roman" w:hAnsi="Times New Roman" w:cs="Times New Roman"/>
          <w:b/>
          <w:sz w:val="24"/>
          <w:szCs w:val="24"/>
        </w:rPr>
        <w:t>Коммерциализация технологий и развитие пояса</w:t>
      </w:r>
      <w:r w:rsidRPr="0042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778">
        <w:rPr>
          <w:rFonts w:ascii="Times New Roman" w:hAnsi="Times New Roman" w:cs="Times New Roman"/>
          <w:b/>
          <w:sz w:val="24"/>
          <w:szCs w:val="24"/>
        </w:rPr>
        <w:t>малых инновационных предприятий СВФУ</w:t>
      </w:r>
    </w:p>
    <w:p w:rsidR="00CC30AE" w:rsidRPr="00420778" w:rsidRDefault="00CC30AE" w:rsidP="00420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Одной из основных задач АИЦ является создан</w:t>
      </w:r>
      <w:r>
        <w:rPr>
          <w:rFonts w:ascii="Times New Roman" w:hAnsi="Times New Roman" w:cs="Times New Roman"/>
          <w:sz w:val="24"/>
          <w:szCs w:val="24"/>
        </w:rPr>
        <w:t>ие, внедрение (практическое при</w:t>
      </w:r>
      <w:r w:rsidRPr="00420778">
        <w:rPr>
          <w:rFonts w:ascii="Times New Roman" w:hAnsi="Times New Roman" w:cs="Times New Roman"/>
          <w:sz w:val="24"/>
          <w:szCs w:val="24"/>
        </w:rPr>
        <w:t>менение) результатов интеллектуальной деятельности вуза. Наиболее распространен опыт создания совместных предприятий, ко</w:t>
      </w:r>
      <w:r>
        <w:rPr>
          <w:rFonts w:ascii="Times New Roman" w:hAnsi="Times New Roman" w:cs="Times New Roman"/>
          <w:sz w:val="24"/>
          <w:szCs w:val="24"/>
        </w:rPr>
        <w:t>ммерциализирующих объекты интел</w:t>
      </w:r>
      <w:r w:rsidRPr="00420778">
        <w:rPr>
          <w:rFonts w:ascii="Times New Roman" w:hAnsi="Times New Roman" w:cs="Times New Roman"/>
          <w:sz w:val="24"/>
          <w:szCs w:val="24"/>
        </w:rPr>
        <w:t>лектуальной собственности. Правовым источником создания малых инновационных предприятий (МИП) является Федеральный закон 217 от 15 августа 2009 г.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</w:t>
      </w:r>
      <w:r>
        <w:rPr>
          <w:rFonts w:ascii="Times New Roman" w:hAnsi="Times New Roman" w:cs="Times New Roman"/>
          <w:sz w:val="24"/>
          <w:szCs w:val="24"/>
        </w:rPr>
        <w:t>ения) результатов интеллектуаль</w:t>
      </w:r>
      <w:r w:rsidRPr="00420778">
        <w:rPr>
          <w:rFonts w:ascii="Times New Roman" w:hAnsi="Times New Roman" w:cs="Times New Roman"/>
          <w:sz w:val="24"/>
          <w:szCs w:val="24"/>
        </w:rPr>
        <w:t>ной деятельности».</w:t>
      </w:r>
    </w:p>
    <w:p w:rsidR="00420778" w:rsidRP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Деятельность МИП СВФУ, в основном, заключа</w:t>
      </w:r>
      <w:r>
        <w:rPr>
          <w:rFonts w:ascii="Times New Roman" w:hAnsi="Times New Roman" w:cs="Times New Roman"/>
          <w:sz w:val="24"/>
          <w:szCs w:val="24"/>
        </w:rPr>
        <w:t>ется в производстве импортозаме</w:t>
      </w:r>
      <w:r w:rsidRPr="00420778">
        <w:rPr>
          <w:rFonts w:ascii="Times New Roman" w:hAnsi="Times New Roman" w:cs="Times New Roman"/>
          <w:sz w:val="24"/>
          <w:szCs w:val="24"/>
        </w:rPr>
        <w:t>щающих продуктов и внедрении на территории региона инновационных технологий.</w:t>
      </w:r>
    </w:p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78">
        <w:rPr>
          <w:rFonts w:ascii="Times New Roman" w:hAnsi="Times New Roman" w:cs="Times New Roman"/>
          <w:sz w:val="24"/>
          <w:szCs w:val="24"/>
        </w:rPr>
        <w:t>В 2014 году было создано 8 МИП (см. таблицу):</w:t>
      </w:r>
    </w:p>
    <w:p w:rsidR="00CC30AE" w:rsidRDefault="00CC30AE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0AE" w:rsidRDefault="00CC30AE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0AE" w:rsidRDefault="00CC30AE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303"/>
        <w:gridCol w:w="1134"/>
        <w:gridCol w:w="2268"/>
        <w:gridCol w:w="2525"/>
      </w:tblGrid>
      <w:tr w:rsidR="00CC30AE" w:rsidRPr="00420778" w:rsidTr="00CC30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lastRenderedPageBreak/>
              <w:t>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Дата</w:t>
            </w:r>
          </w:p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создания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Направление</w:t>
            </w:r>
          </w:p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РИД</w:t>
            </w:r>
          </w:p>
        </w:tc>
      </w:tr>
      <w:tr w:rsidR="00CC30AE" w:rsidRPr="00420778" w:rsidTr="00CC30A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778" w:rsidRPr="00420778" w:rsidRDefault="00420778" w:rsidP="00CC30AE">
            <w:pPr>
              <w:widowControl w:val="0"/>
              <w:spacing w:after="0" w:line="208" w:lineRule="exact"/>
              <w:ind w:left="22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«Амтэк</w:t>
            </w:r>
            <w:r w:rsidR="00CC30A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09.01.2014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Разработка и продвиже</w:t>
            </w: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ние технологий допол</w:t>
            </w: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ненной реальности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Ноу-хау «Программно-аппаратное обеспечение издательско-полигра</w:t>
            </w: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фических работ»</w:t>
            </w:r>
          </w:p>
        </w:tc>
      </w:tr>
      <w:tr w:rsidR="00CC30AE" w:rsidRPr="00420778" w:rsidTr="00CC30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778" w:rsidRPr="00420778" w:rsidRDefault="00CC30AE" w:rsidP="00CC30AE">
            <w:pPr>
              <w:widowControl w:val="0"/>
              <w:spacing w:after="0" w:line="208" w:lineRule="exact"/>
              <w:ind w:left="16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«Индор</w:t>
            </w:r>
            <w:r w:rsidR="00420778"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14.05.2014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Ремонт и строительство дорог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778" w:rsidRPr="00420778" w:rsidRDefault="00420778" w:rsidP="00420778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Ноу-хау «Технология преобразования гр</w:t>
            </w:r>
            <w:r w:rsid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унтов с использованием криотроп</w:t>
            </w:r>
            <w:r w:rsidRPr="00420778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ных полимерных материалов»</w:t>
            </w:r>
          </w:p>
        </w:tc>
      </w:tr>
      <w:tr w:rsidR="00CC30AE" w:rsidRPr="00420778" w:rsidTr="00CC30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0AE" w:rsidRPr="00420778" w:rsidRDefault="00CC30AE" w:rsidP="00CC30AE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0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«Геоинжи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CC30AE" w:rsidRPr="00CC30AE" w:rsidRDefault="00CC30AE" w:rsidP="00CC30AE">
            <w:pPr>
              <w:pStyle w:val="20"/>
              <w:shd w:val="clear" w:color="auto" w:fill="auto"/>
              <w:spacing w:before="0" w:line="20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0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15.05.2014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Выполнение изыскатель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ских работ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Патент на полезную модель № 122439 «Установка реперного контроля для замеров сработки верхней бровки от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косов уступа борта карьера»</w:t>
            </w:r>
          </w:p>
        </w:tc>
      </w:tr>
      <w:tr w:rsidR="00CC30AE" w:rsidRPr="00420778" w:rsidTr="00CC30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0AE" w:rsidRPr="00420778" w:rsidRDefault="00CC30AE" w:rsidP="00CC30AE">
            <w:pPr>
              <w:widowControl w:val="0"/>
              <w:spacing w:after="0" w:line="208" w:lineRule="exact"/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Д А Н Г О СОФТ»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0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20.05.2014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Разработка и продви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жение компьютерных работ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CC30AE">
            <w:pPr>
              <w:pStyle w:val="20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Ноу-хау «Методика разработки ком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пьютерных игровых продуктов на ос</w:t>
            </w:r>
            <w:r w:rsidRPr="00CC30AE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нове облачных технологий»</w:t>
            </w:r>
          </w:p>
        </w:tc>
      </w:tr>
    </w:tbl>
    <w:p w:rsidR="00420778" w:rsidRDefault="00420778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Таким образом, за 2011-2014 г. на основе 52 результатов интеллектуальной дея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тельности СВФУ создано 25 МИП, действующих в сфере информационных технологий, медицины и биотехнологий, разведке и добыче полезных ископаемых, энергоэффек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тивного строительства в условиях Севера.</w:t>
      </w:r>
    </w:p>
    <w:p w:rsidR="00CC30AE" w:rsidRPr="00CC30AE" w:rsidRDefault="00CC30AE" w:rsidP="00CC30AE">
      <w:pPr>
        <w:framePr w:h="3101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C30A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A27BA7C" wp14:editId="612A2E4A">
            <wp:extent cx="3609975" cy="1971675"/>
            <wp:effectExtent l="0" t="0" r="9525" b="9525"/>
            <wp:docPr id="2" name="Рисунок 4" descr="C:\Users\Apo5a\AppData\Local\Temp\ABBYY\PDFTransformer\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o5a\AppData\Local\Temp\ABBYY\PDFTransformer\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AE" w:rsidRPr="00CC30AE" w:rsidRDefault="00CC30AE" w:rsidP="00CC30AE">
      <w:pPr>
        <w:framePr w:h="3101" w:wrap="notBeside" w:vAnchor="text" w:hAnchor="text" w:xAlign="center" w:y="1"/>
        <w:widowControl w:val="0"/>
        <w:spacing w:after="0" w:line="208" w:lineRule="exact"/>
        <w:jc w:val="center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CC30AE">
        <w:rPr>
          <w:rFonts w:ascii="Times New Roman" w:eastAsia="Calibri" w:hAnsi="Times New Roman" w:cs="Times New Roman"/>
          <w:b/>
          <w:color w:val="231F20"/>
          <w:lang w:eastAsia="ru-RU" w:bidi="ru-RU"/>
        </w:rPr>
        <w:t>Количество внедренных РИД</w:t>
      </w:r>
    </w:p>
    <w:p w:rsidR="00CC30AE" w:rsidRPr="00CC30AE" w:rsidRDefault="00CC30AE" w:rsidP="00CC3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30AE" w:rsidRPr="00CC30AE" w:rsidRDefault="00CC30AE" w:rsidP="00CC3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C30AE" w:rsidRPr="00CC30AE" w:rsidSect="00CC30AE">
          <w:pgSz w:w="9636" w:h="13605"/>
          <w:pgMar w:top="1035" w:right="1105" w:bottom="1031" w:left="1101" w:header="0" w:footer="3" w:gutter="0"/>
          <w:cols w:space="720"/>
          <w:noEndnote/>
          <w:docGrid w:linePitch="360"/>
        </w:sectPr>
      </w:pPr>
    </w:p>
    <w:p w:rsidR="00CC30AE" w:rsidRPr="00CC30AE" w:rsidRDefault="00CC30AE" w:rsidP="00CC30AE">
      <w:pPr>
        <w:framePr w:h="2380" w:wrap="notBeside" w:vAnchor="text" w:hAnchor="text" w:xAlign="center" w:y="1"/>
        <w:widowControl w:val="0"/>
        <w:spacing w:after="0" w:line="232" w:lineRule="exact"/>
        <w:rPr>
          <w:rFonts w:ascii="Calibri" w:eastAsia="Calibri" w:hAnsi="Calibri" w:cs="Calibri"/>
          <w:color w:val="000000"/>
          <w:sz w:val="19"/>
          <w:szCs w:val="19"/>
          <w:lang w:eastAsia="ru-RU" w:bidi="ru-RU"/>
        </w:rPr>
      </w:pPr>
    </w:p>
    <w:p w:rsidR="00CC30AE" w:rsidRPr="00CC30AE" w:rsidRDefault="00CC30AE" w:rsidP="00CC30AE">
      <w:pPr>
        <w:framePr w:h="2380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C30A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8B5DCCD" wp14:editId="63E47ED6">
            <wp:extent cx="3369276" cy="1851660"/>
            <wp:effectExtent l="0" t="0" r="3175" b="0"/>
            <wp:docPr id="4" name="Рисунок 6" descr="C:\Users\Apo5a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o5a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26" cy="18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AE" w:rsidRPr="00CC30AE" w:rsidRDefault="00CC30AE" w:rsidP="00CC3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30AE" w:rsidRPr="00CC30AE" w:rsidRDefault="00CC30AE" w:rsidP="00CC30AE">
      <w:pPr>
        <w:widowControl w:val="0"/>
        <w:tabs>
          <w:tab w:val="left" w:pos="3057"/>
          <w:tab w:val="left" w:pos="3950"/>
          <w:tab w:val="left" w:pos="4817"/>
        </w:tabs>
        <w:spacing w:after="313" w:line="224" w:lineRule="exact"/>
        <w:ind w:left="2140"/>
        <w:jc w:val="both"/>
        <w:rPr>
          <w:rFonts w:ascii="Arial" w:eastAsia="Arial" w:hAnsi="Arial" w:cs="Arial"/>
          <w:b/>
          <w:bCs/>
          <w:color w:val="000000"/>
          <w:sz w:val="17"/>
          <w:szCs w:val="17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sz w:val="17"/>
          <w:szCs w:val="17"/>
          <w:lang w:eastAsia="ru-RU" w:bidi="ru-RU"/>
        </w:rPr>
        <w:t xml:space="preserve">        </w:t>
      </w:r>
      <w:r w:rsidRPr="00CC30AE">
        <w:rPr>
          <w:rFonts w:ascii="Arial" w:eastAsia="Arial" w:hAnsi="Arial" w:cs="Arial"/>
          <w:b/>
          <w:bCs/>
          <w:color w:val="000000"/>
          <w:sz w:val="17"/>
          <w:szCs w:val="17"/>
          <w:lang w:eastAsia="ru-RU" w:bidi="ru-RU"/>
        </w:rPr>
        <w:t>2011</w:t>
      </w:r>
      <w:r w:rsidRPr="00CC30AE">
        <w:rPr>
          <w:rFonts w:ascii="Book Antiqua" w:eastAsia="Book Antiqua" w:hAnsi="Book Antiqua" w:cs="Book Antiqua"/>
          <w:color w:val="000000"/>
          <w:sz w:val="18"/>
          <w:szCs w:val="18"/>
          <w:lang w:eastAsia="ru-RU" w:bidi="ru-RU"/>
        </w:rPr>
        <w:tab/>
      </w:r>
      <w:r>
        <w:rPr>
          <w:rFonts w:ascii="Book Antiqua" w:eastAsia="Book Antiqua" w:hAnsi="Book Antiqua" w:cs="Book Antiqua"/>
          <w:color w:val="000000"/>
          <w:sz w:val="18"/>
          <w:szCs w:val="18"/>
          <w:lang w:eastAsia="ru-RU" w:bidi="ru-RU"/>
        </w:rPr>
        <w:t xml:space="preserve">                </w:t>
      </w:r>
      <w:r w:rsidRPr="00CC30AE">
        <w:rPr>
          <w:rFonts w:ascii="Arial" w:eastAsia="Arial" w:hAnsi="Arial" w:cs="Arial"/>
          <w:b/>
          <w:bCs/>
          <w:color w:val="000000"/>
          <w:sz w:val="17"/>
          <w:szCs w:val="17"/>
          <w:lang w:eastAsia="ru-RU" w:bidi="ru-RU"/>
        </w:rPr>
        <w:t>2012</w:t>
      </w:r>
      <w:r w:rsidRPr="00CC30AE">
        <w:rPr>
          <w:rFonts w:ascii="Book Antiqua" w:eastAsia="Book Antiqua" w:hAnsi="Book Antiqua" w:cs="Book Antiqua"/>
          <w:color w:val="000000"/>
          <w:sz w:val="18"/>
          <w:szCs w:val="18"/>
          <w:lang w:eastAsia="ru-RU" w:bidi="ru-RU"/>
        </w:rPr>
        <w:tab/>
      </w:r>
      <w:r>
        <w:rPr>
          <w:rFonts w:ascii="Book Antiqua" w:eastAsia="Book Antiqua" w:hAnsi="Book Antiqua" w:cs="Book Antiqua"/>
          <w:color w:val="000000"/>
          <w:sz w:val="18"/>
          <w:szCs w:val="18"/>
          <w:lang w:eastAsia="ru-RU" w:bidi="ru-RU"/>
        </w:rPr>
        <w:t xml:space="preserve">         </w:t>
      </w:r>
      <w:r w:rsidRPr="00CC30AE">
        <w:rPr>
          <w:rFonts w:ascii="Arial" w:eastAsia="Arial" w:hAnsi="Arial" w:cs="Arial"/>
          <w:b/>
          <w:bCs/>
          <w:color w:val="000000"/>
          <w:sz w:val="17"/>
          <w:szCs w:val="17"/>
          <w:lang w:eastAsia="ru-RU" w:bidi="ru-RU"/>
        </w:rPr>
        <w:t>2013</w:t>
      </w:r>
      <w:r w:rsidRPr="00CC30AE">
        <w:rPr>
          <w:rFonts w:ascii="Book Antiqua" w:eastAsia="Book Antiqua" w:hAnsi="Book Antiqua" w:cs="Book Antiqua"/>
          <w:color w:val="000000"/>
          <w:sz w:val="18"/>
          <w:szCs w:val="18"/>
          <w:lang w:eastAsia="ru-RU" w:bidi="ru-RU"/>
        </w:rPr>
        <w:tab/>
      </w:r>
      <w:r>
        <w:rPr>
          <w:rFonts w:ascii="Book Antiqua" w:eastAsia="Book Antiqua" w:hAnsi="Book Antiqua" w:cs="Book Antiqua"/>
          <w:color w:val="000000"/>
          <w:sz w:val="18"/>
          <w:szCs w:val="18"/>
          <w:lang w:eastAsia="ru-RU" w:bidi="ru-RU"/>
        </w:rPr>
        <w:t xml:space="preserve">                  </w:t>
      </w:r>
      <w:r w:rsidRPr="00CC30AE">
        <w:rPr>
          <w:rFonts w:ascii="Arial" w:eastAsia="Arial" w:hAnsi="Arial" w:cs="Arial"/>
          <w:b/>
          <w:bCs/>
          <w:color w:val="000000"/>
          <w:sz w:val="17"/>
          <w:szCs w:val="17"/>
          <w:lang w:eastAsia="ru-RU" w:bidi="ru-RU"/>
        </w:rPr>
        <w:t>2014</w:t>
      </w:r>
    </w:p>
    <w:p w:rsidR="00CC30AE" w:rsidRPr="00CC30AE" w:rsidRDefault="00CC30AE" w:rsidP="00CC30AE">
      <w:pPr>
        <w:widowControl w:val="0"/>
        <w:spacing w:after="280" w:line="208" w:lineRule="exact"/>
        <w:jc w:val="center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CC30AE">
        <w:rPr>
          <w:rFonts w:ascii="Times New Roman" w:eastAsia="Calibri" w:hAnsi="Times New Roman" w:cs="Times New Roman"/>
          <w:b/>
          <w:color w:val="231F20"/>
          <w:lang w:eastAsia="ru-RU" w:bidi="ru-RU"/>
        </w:rPr>
        <w:t>Объем произведенной высокотехнологичной продукции МИП СВФУ, млн руб.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С момента начала реализации Программы развития инновационной инфраструк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туры в СВФУ повышается уровень коммерциализации результатов интеллектуальной деятельности. Так, за период 2014 г., созданные МИП СВФУ обеспечили выпуск высо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котехнологичной продукции в объеме 167,00 млн руб. Число сотрудников привлечен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ных к работе в МИП - 235 человек. Фонд заработной платы составил 23,76 млн руб. Общая сумма налоговых платежей МИП в бюджетную систему РФ составила 15,54 млн руб. При этом основной вклад внесли хозяйственные общества строительного и про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ектно-графического профилей.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В соответствии с Порядком создания МИП и их взаимодействия с СВФУ, АИЦ оказы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вает следующие виды поддержки субъектам малого инновационного предпринима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тельства: выявление и регистрация коммерчески перспективных результатов интел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лектуальной деятельности; консультативная поддержка по вопросам создания МИП и управления нематериальными активами сотрудникам СВФУ и заинтересованным субъектам; содействие в вопросах размещения МИП и аренды оборудования на льгот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ных условиях в соответствии с законодательством РФ и РС (Я); содействие привлече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нию инвестиций и иных форм финансирования в инновационные инвестиционные проекты МИП; содействие в продвижении продукции МИП.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Всего в 2014 году привлечено финансирования средств из внешних источников в 10 МИП на сумму 26,73 млн руб. В том числе: 7927,35 тыс. руб. безвозвратные средства, 18800 тыс. руб. - заемные. В ноябре-декабре проведено анкетирование МИП СВФУ для оценки потребностей в финансировании в 2015 г.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Согласно Распоряжению Правительства РФ № 98-р от 27 января 2015 г. одним из 60 первоочередных мероприятий по обеспечению устойчивого развития экономики и социальной стабильности в 2015 году стало расширение мер поддержки малых инно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 xml:space="preserve">вационных предприятий. Ожидаемым результатом этого мероприятия должно стать 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lastRenderedPageBreak/>
        <w:t>создание новых и поддержка существующих малых инновационных предприятий, ре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ализующих инновационные проекты, а также создание и (или) модернизация рабочих мест на малых инновационных предприятиях, получивших поддержку.</w:t>
      </w: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Помимо создания МИП одним из ключевых показателей эффективности деятель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ности вуза в инновационной сфере является коммерциализация результатов интел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softHyphen/>
        <w:t>лектуальной деятельности (РИД). Для оценки этого показателя применяют несколько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подходов, такие как: количество внедренных РИД,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количество заключенных лицензи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онных соглашений, объем заключенных лиценз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ионных соглашений в денежном вы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ражении и т.д. Количество внедренных РИД с 2011 п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о 2014 год составило 52, из них I 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программа для ЭВМ, 3 патента и 48 ноу-хау. Количество заключенных лицензионных соглашений с 2011 по 2014 год составило 29, из них 27 с МИПами и 2 со сторонними организациями. Объем заключенных лицензионных с 2011 по 2014 годы соглашений в денежном выражении составил 783 080 рублей.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  </w:t>
      </w: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 w:bidi="ru-RU"/>
        </w:rPr>
        <w:t>Организация коллективного доступа к научному оборудованию СВФУ</w:t>
      </w:r>
    </w:p>
    <w:p w:rsidR="00CC30AE" w:rsidRPr="00CC30AE" w:rsidRDefault="00CC30AE" w:rsidP="00CC30A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Центр коллективного пользования СВФУ создан с ц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елью реализации приоритетных на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правлений 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развития вуза в сфере научно-об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разовательной и инновационной деятельности путем содействия созданию и использованию парка уникального научного оборудования, а также организации коллективного доступа к этому оборудованию.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В 2014 г. в здании АИЦ СВФУ располагались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II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ab/>
        <w:t>научно-образовательных лабораторий и центров СВФУ; подготовлен и выпущен в свет каталог базы научного оборудования СВФУ.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В 2014 г. продолжено предоставление услуги в режиме ко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ллективного пользования оборудо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ванием научных лабораторий, например: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1)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ab/>
        <w:t xml:space="preserve">лаборатория «Графеновые нанотехнологии» 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- Институту физики полупроводни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ков им. Ржанова СО РАН, г. Новосибирск (рамановская спектроскопия образцов с со-держанием нанокристалловGe по SiO2 и AIO3, рамановская спектроскопия графенов, раман-спектроскопия и АСМ образцов графена); И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нституту физико-технических про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блем Севера СО РАН (измерение стали с коррозией); подразделениям СВФУ (раман- спектроскопия полимеров, раман-спектроскопия и АСМ образцов композитных мате-риалов, раман природного лазера, измерения металлов, производство жидкого азота и деоинизированной воды);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2)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ab/>
        <w:t xml:space="preserve">лаборатория «Технологии полимерных 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нанокомпозитов» - Институту про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блем нефти и газа СО РАН (рентгеновская д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ефракотометрия, исследования ме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ханических 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lastRenderedPageBreak/>
        <w:t>свойств проб на аппарате Authograph AGS-J, универсальный тестер механическихсвойств,исследованиясиспользованиемрастровогоэлектронногомикро- скопа, трибометра, мельницы, брабендера, МИ-2 исследование на абразивный износ, ИК-спектрометра, дифференциального сканирую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щего калориметра); Институту фи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зико-технических проблем Севера СО РАН (рентгеновская дефракотометрия), а также подразделениям СВФУ. Оказаны услуги и проведены работы на хоздоговорной основе;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3)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ab/>
        <w:t>лаборатория «Механохимические биотехноло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гии» - подразделениям СВФУ с ис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пользованием Спектрофотометр Libra S12, рН метр inoLabpH 7110; Государственному комитету Республики Саха (Якутия) по инновационн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ой политике и науке по разработ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ке поликомпонентов биофармпрепаратов для коррекции метаболических нарушений при сахарном диабете 2 типа с помощью высокоскоростного миксера, гранулятора, смесителя KSM-50; 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4)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ab/>
        <w:t>НОЦ «Геотехнологии Севера им. М.Д. Новопашина» - Институту горного дела Севера СО РАН (услуги лазерного сканирования в выполнении исследований процесса экскавации драглайном взорванных вскрышных по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род, склонных к повторному смер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занию, в натурных условиях Кангаласского угольно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го месторождения), подразделени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ям СВФУ (климатические испытания светодиодов, климатические испытания образцов резин, климатические испытания эластомерных материалов);</w:t>
      </w:r>
    </w:p>
    <w:p w:rsidR="00CC30AE" w:rsidRP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5)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ab/>
        <w:t>УНЛ «Геномная медицина» - Государственному комитету Республики Саха (Яку-тия) по инновационной политике и науке (Разработка генетических микрочипов для диагностики моногенных болезней, распространенных в РС (Я); Болезнь Шарко-Ма- ри-Тута и другие наследственные нейропатии в РС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(Я); Ассоциация полиморфных ва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риантов генов рецепторов фактора некроза опухоли Альфа I и II типов с рассеянным склерозом с использованием научного оборудования лаборатории).</w:t>
      </w: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Информация по дорогостоящему научному о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борудованию с балансовой стоимо</w:t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стью свыше 5 млн рублей за единицу приведена в таблице.</w:t>
      </w: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7493"/>
      </w:tblGrid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b/>
                <w:bCs/>
                <w:color w:val="231F20"/>
                <w:lang w:eastAsia="ru-RU" w:bidi="ru-RU"/>
              </w:rPr>
              <w:lastRenderedPageBreak/>
              <w:t>Физико-технический институт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Графеновые нанотех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нологии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Модуль с инвертированным оптическим микроскопом для зондовой нанолаборатории СПЕКТРА ИНВ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 xml:space="preserve">Модуль электронный микроскопии с термоэмиссионной пушкой Шот- ки и энергодисперсионным спектрометром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JSM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>-7800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F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 xml:space="preserve">Модуль для измерения эффекта Холла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HL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>5500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PC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Модуль магнетронного напыления ЭТНА 100МТ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Модуль для контактной литографии с функцией совмещения и экспо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 xml:space="preserve">нирования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MJB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>4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Модуль ионно-лучевого травления ИЛТ200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 xml:space="preserve">Модуль оптической микроскопии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Eclipse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 xml:space="preserve">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LV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Модуль осаждения из газовой фазы для установки плазмохимическо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го травления ПХО100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Комплект оборудования для создания заданных параметров воздуш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ной среды «Чистая комната»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Платформа технологическая для выращивания графенов и получения полупроводниковых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Платформа учебно-аналитическая для исследования качества, состава и электрофизич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Модуль для тестирования НЕКСТ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b/>
                <w:bCs/>
                <w:color w:val="231F20"/>
                <w:lang w:eastAsia="ru-RU" w:bidi="ru-RU"/>
              </w:rPr>
              <w:t>Клиника Медицинского института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Геномная медицина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 xml:space="preserve">ГенетическийсеквенаторMiSeg в варианте исполнения: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MiSeg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 xml:space="preserve">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ЫН-410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softHyphen/>
              <w:t>1003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 xml:space="preserve">Комплект для генетического анализа (секвенаторы) 3130,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>3130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XL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 xml:space="preserve">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AppliedBiosystems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 xml:space="preserve">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(США) 2008 г.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b/>
                <w:bCs/>
                <w:color w:val="231F20"/>
                <w:lang w:eastAsia="ru-RU" w:bidi="ru-RU"/>
              </w:rPr>
              <w:t>Институт естественных наук</w:t>
            </w:r>
          </w:p>
        </w:tc>
      </w:tr>
      <w:tr w:rsidR="00CC30AE" w:rsidRPr="00CC30AE" w:rsidTr="00CC30AE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Механохимические</w:t>
            </w:r>
          </w:p>
          <w:p w:rsidR="00CC30AE" w:rsidRPr="00CC30AE" w:rsidRDefault="00CC30AE" w:rsidP="00CC30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>биотехнологии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E" w:rsidRPr="00CC30AE" w:rsidRDefault="00CC30AE" w:rsidP="003D47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CC30AE">
              <w:rPr>
                <w:rFonts w:ascii="Times New Roman" w:eastAsia="Calibri" w:hAnsi="Times New Roman" w:cs="Times New Roman"/>
                <w:color w:val="231F20"/>
                <w:lang w:eastAsia="ru-RU" w:bidi="ru-RU"/>
              </w:rPr>
              <w:t xml:space="preserve">Миксер высокоскоростной, гранулятор, смеситель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KMS</w:t>
            </w:r>
            <w:r w:rsidRPr="00CC30AE">
              <w:rPr>
                <w:rFonts w:ascii="Times New Roman" w:eastAsia="Calibri" w:hAnsi="Times New Roman" w:cs="Times New Roman"/>
                <w:color w:val="231F20"/>
                <w:lang w:bidi="en-US"/>
              </w:rPr>
              <w:t xml:space="preserve">-50, </w:t>
            </w:r>
            <w:r w:rsidRPr="00CC30AE">
              <w:rPr>
                <w:rFonts w:ascii="Times New Roman" w:eastAsia="Calibri" w:hAnsi="Times New Roman" w:cs="Times New Roman"/>
                <w:color w:val="231F20"/>
                <w:lang w:val="en-US" w:bidi="en-US"/>
              </w:rPr>
              <w:t>kisCorporation</w:t>
            </w:r>
          </w:p>
        </w:tc>
      </w:tr>
    </w:tbl>
    <w:p w:rsidR="00CC30AE" w:rsidRDefault="00CC30AE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3D4737" w:rsidRDefault="003D4737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Использование аудиторного фонда АИЦ. Конференц-зал АИЦ (каб. 302) в 2014 г. более 1300 часов использовался по тематике работ АИЦ, проведены научные и об-учающие семинары университета, в том числе НОЦ «Нанотехнологии», НОЦ «Геотех-нологии Севера»,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9"/>
        <w:gridCol w:w="6211"/>
      </w:tblGrid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Технологии полимер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ных нанокомпозитов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08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Детектор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08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ИК-спектрометр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08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Комплекс универсальный СЗМ-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Оборудование универсальное смесительное по переработке полиме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ров Пластикордер «Б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 xml:space="preserve">Рентгеновский дифрактометр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ARL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X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>'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TRA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(в комплекте) Фирма-произ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 xml:space="preserve">водитель: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Thermo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F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08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 xml:space="preserve">Универсальный высокотемпературный трибометр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UMT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модель ЗМТ 2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D4737" w:rsidRPr="003D4737" w:rsidRDefault="003D4737" w:rsidP="003D4737">
            <w:pPr>
              <w:widowControl w:val="0"/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b/>
                <w:bCs/>
                <w:color w:val="231F20"/>
                <w:shd w:val="clear" w:color="auto" w:fill="FFFFFF"/>
                <w:lang w:eastAsia="ru-RU" w:bidi="ru-RU"/>
              </w:rPr>
              <w:t>Горный институт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НОЦ Геотехнологии Севера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 xml:space="preserve">Лазерный сканер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LEICA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HDS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8800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>в комплектации: сканер, аккумуля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softHyphen/>
              <w:t>торная батарея-2 ш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37" w:rsidRPr="003D4737" w:rsidRDefault="003D4737" w:rsidP="003D4737">
            <w:pPr>
              <w:widowControl w:val="0"/>
              <w:spacing w:after="0" w:line="208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 xml:space="preserve">Система сканирования полостей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GeoSightMINEi</w:t>
            </w:r>
          </w:p>
        </w:tc>
      </w:tr>
      <w:tr w:rsidR="003D4737" w:rsidRPr="003D4737" w:rsidTr="003D473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37" w:rsidRPr="003D4737" w:rsidRDefault="003D4737" w:rsidP="003D4737">
            <w:pPr>
              <w:widowControl w:val="0"/>
              <w:spacing w:after="0" w:line="216" w:lineRule="exact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 xml:space="preserve">Система бесконтактная оптическая измерения деформаций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ARAMIS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bidi="en-US"/>
              </w:rPr>
              <w:t xml:space="preserve">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eastAsia="ru-RU" w:bidi="ru-RU"/>
              </w:rPr>
              <w:t xml:space="preserve">3D 4МСистема </w:t>
            </w:r>
            <w:r w:rsidRPr="003D4737">
              <w:rPr>
                <w:rFonts w:ascii="Times New Roman" w:eastAsia="Calibri" w:hAnsi="Times New Roman" w:cs="Times New Roman"/>
                <w:color w:val="231F20"/>
                <w:shd w:val="clear" w:color="auto" w:fill="FFFFFF"/>
                <w:lang w:val="en-US" w:bidi="en-US"/>
              </w:rPr>
              <w:t>ARAM</w:t>
            </w:r>
          </w:p>
        </w:tc>
      </w:tr>
    </w:tbl>
    <w:p w:rsidR="003D4737" w:rsidRDefault="003D4737" w:rsidP="00CC30AE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</w:p>
    <w:p w:rsidR="003D4737" w:rsidRPr="003D4737" w:rsidRDefault="00CC30AE" w:rsidP="003D473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br w:type="page"/>
      </w:r>
      <w:r w:rsidRPr="00CC30AE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lastRenderedPageBreak/>
        <w:t xml:space="preserve"> </w:t>
      </w:r>
      <w:r w:rsidR="003D4737"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межвузовского студенческого инновационного бизнес-инкубатора, ИНПО СВФУ и др.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АИЦ посетили с рабочим визитом: 5 обществен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ных организаций, 9 научных орга</w:t>
      </w: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низаций, 6 бизнес-структур, 3 иностранных государства, гости из 12 субъектов РФ и из 5 иностранных государств.</w:t>
      </w:r>
    </w:p>
    <w:p w:rsidR="00CC30AE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Кроме этого, в целях ознакомления работой нов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ых лабораторий АИЦ посетили уча</w:t>
      </w: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щиеся 10 школ. АИЦ в 2014 г. с рабочими визитами посетили: Помощник президента РФ - Фурсенко Андрей Александрович, Советник АН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Республики Башкортостан - Тил</w:t>
      </w: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лутдинов Иммухашей Тильмутдинович, Президент АН Республики Татарстан - Мазла- рев Ахмет Мазларевич, представители компании BRIDGESTONE CORP. (Япония) Tatsuro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Hamada, Nasato Banno, представитель Фонда содействия развитию малых форм пред-приятий в научно-технической сфере Загидулин Иг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орь Владимирович, главный специ</w:t>
      </w: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алист программы «УМНИК» по УФО, СФО и ДФО, Первый заместитель генерального директора ЮНЕСКО Энгида Гетачью, Ответственный секретарь Ю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НЕСКО РФ - Орджо</w:t>
      </w:r>
      <w:r w:rsidRPr="003D4737">
        <w:rPr>
          <w:rFonts w:ascii="Times New Roman" w:eastAsia="Calibri" w:hAnsi="Times New Roman" w:cs="Times New Roman"/>
          <w:color w:val="231F20"/>
          <w:sz w:val="24"/>
          <w:szCs w:val="24"/>
          <w:lang w:eastAsia="ru-RU" w:bidi="ru-RU"/>
        </w:rPr>
        <w:t>никидзе Григорий Эдуардович, Генеральный секретарь Национальной комиссии по делам ЮНЕСКО Республики Молдова - Руснак Константин Васильевич и др.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 w:bidi="ru-RU"/>
        </w:rPr>
      </w:pPr>
    </w:p>
    <w:p w:rsidR="003D4737" w:rsidRDefault="003D4737" w:rsidP="003D4737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Студенческий бизнес-инкубатор «Oreh» АИЦ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Межвузовский студенческий инновационный бизнес-инкубатор создан в 2012 году на базе АИЦ СВФУ в рамках реализации Програм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мы развития инновационный инфра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структуры СВФУ в целях поддержки студентов-предпринимателей на ранней стадии их деятельности путем предоставления в аренду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омещений и оказания консультаци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онных, бухгалтерских и юридических услуг. Это пер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вый на территории Якутии студен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ческий бизнес-инкубатор. В декабре 2014 года в связи с ребрендингом и принятием нового положения приказом ректора СВФУ переим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енован в студенческий бизнес-ин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кубатор «Oreh».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«Oreh» - новый лейбл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призванный создать дружествен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ную атмосферу для начинающих предпринимателей. На логотипе нарисован кедровый орех. По замыслу, орешки, находящиеся внутри кед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ровой шишки, символизируют рези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дентов инкубатора и их единство.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Бизнес-инкубатор территориально располагается в здании АИЦ и студенческого общежития № 9/2. Кроме того, созданы филиалы бизнес-инкубатора в г. Мирном и с. Октемцы. Бизнес- инкубатор оснащен совре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менными системами жизнеобеспече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ния, включая автономное конди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ционирование, систему пожарной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безопасности, охрану и коммуникации, доступ в интернет.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2014 году количество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резидентов бизнес-инкубатора вы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росло до 8-и: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ООО «ДАНГО СОФТ» разрабатывает игры и мобильные приложения; ООО «АМ- ТЭК+» работает в сфере энергосбережения; Крылов П.А. - тренинговая компания для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студентов-предпринимателей; Илларионов А.М. - IT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-школа; Егоров В.С. - профориен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тационные курсы для школьников; ООО «Градпроект» - внедрение ГИС-технологий в градостроительство; Матул Г.А. - разработка и обслуживание SCADA систем; Шевчук В.А. - контроль качества электроэнергии.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«Наших резидентов мы учим мыслить и дума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ть глобально. Если будем варить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ся в своем котелке, предлагая услуги, продукции только Якутску, мы не привлечем крупные инвестиции венчурных компаний. Для этого нужно показать результаты мирового уровня» (Готовцев Э.И. - директор СБИ «Oreh»)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Студенты, работающие в ООО «ДАНГО СОФТ», выпустили компьютерную игру «Midnight Macabre», которая продается во всех крупных игровых порталах мира, таких как bigfishgames.com, gamehouse.com, alawar.com.</w:t>
      </w:r>
    </w:p>
    <w:p w:rsid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2014 году в бизнес-инкубаторе также был откр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ыт коворкинг-центр для всех сту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дентов. Коворкинг - это специальное пространство, созданное для тех, кто не хочет работать ни в офисе, ни дома. Помимо комфортного места для работы, здесь можно найти единомышленников, обменяться опытом и развить свои идеи. В помещении коворкинг-центра проведен современный ремонт, а с 2015 года здесь будут проходить различные курсы по предпринимательству и IT-технологиям.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3D47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Мероприятия и проекты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•Проведен призовой конкурс «Битва проектов» в рамках II съезда инженеров, СБИ стал одной из площадок всероссийской научной игры «Science games».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•Было оказано содействие в информировании и предоставлении потенциальных участников в конкурсе проектов «УМНИК» Фонда содействия развития малых форм предприятий.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•Начата работа над организацией Центра цифрового производства и прототипиро-вания FabLab на базе бизнес-инкубатора.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•Проведена работа по подготовке к проведению в 2015 г. совместно с АО «Вен-чурная компания Якутия» и ОАО «Республиканская инвестиционная компания» аксе-лерационной программы «Идея на миллион» с призовым фондом 1 000 000 рублей среди студентов и магистров очного отделения СВФУ им. М.К. Аммосова, желающих заниматься предпринимательской деятельностью.</w:t>
      </w:r>
    </w:p>
    <w:p w:rsidR="003D4737" w:rsidRDefault="003D4737" w:rsidP="003D4737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4737" w:rsidRDefault="003D4737" w:rsidP="003D4737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D4737" w:rsidRPr="003D4737" w:rsidRDefault="003D4737" w:rsidP="003D4737">
      <w:pPr>
        <w:widowControl w:val="0"/>
        <w:spacing w:after="0" w:line="360" w:lineRule="auto"/>
        <w:ind w:firstLine="3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Важнейшие события 2014 г.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Апрель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 базе Северо-Восточного федерального университета прошел региональный тур Всероссийского Road-Show Russian Start-Up Tour. 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итогам регионального тура опре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делены победители по номинациям: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приглашение к участию на международной конф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еренции StartupVillage в «Инно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град» Сколково 2-3 июня и возможность внеконкур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сного выступления перед инвесто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рами минуя предварительный отбор;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сертификаты от Российской венчурной компании на участие в финальном отборе национального конкурса-акселератора Generation S;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сертификаты о прохождении первого этапа отбора в международную группу «100 инноваторов» молодежной программы Форума «Открытые инновации».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Обладателями Гранта Президента Республики Саха (Якутия) стали ООО МИП «Дары Якутии» с проектом «Организация производства пищевой рыбокостной муки в Республике Саха (Якутия)», сотрудники ООО 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 «Многомерные технологии» - Фи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липпов Иван с проектом «Модульные конечности»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директор ООО МИП «Вита-Гидро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поника» Попова Людмила с проектом «Расширение действующего мелкосерийного производства по выращиванию зелени, фруктов и овощей в районах Крайнего Севера и снижение цены реализуемой продукции за счет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внедрения энергосберегающих тех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нологий».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Делегация СВФУ при участии директора ЦИС Винокурова А.А. приняла участие в Международном салоне изобретений и инноваций «Архимед-2014». По итогам работы Салона СВФУ отмечен Кубком региона за вклад в развитие изобретательства и рационализаторства, а авторы-разработчики награждены медалями и дипломами Салона.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Май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Создано малое инновационное предприятие «Ин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дорстрой», соучредителем которо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выступила компания «Якутдорстрой». В 2014 году предприятие выполнило работы по ремонту 5 кварталов города Якутска и бетонированию площадки «Стройкомпозит».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Июнь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г. Якутске проведен научно-практический семинар с международным участием «Интеллектуальная собственность в условиях инновационного развития». В работе семинара приняли участие представители Всемирной организации интеллектуальной собственности, Роспатента, государственных структур, общественных организаций, вузов и НИИ, промышленных предприятий, информационных центров, юридических компаний из гг. Женевы, Вашингтона, Москвы, Хаба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ровска, Якутска, Мирного, Нерюн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гри - всего более 80 человек.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Представители Ямало-Ненецкого автономного 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круга во главе с первым замести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телем губернатора Алексеем Ситниковым ознак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омились с работой Научно-образо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вательного центра «Геотехнологии Севера» имени М.Д. Новопашина, лабораторией «Механохимические биотехнологии», Российско-г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ерманской лабораторией по изуче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нию экологического состояния Арктики «БиоМ».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Июль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июле-августе приняли участие в разработке 2-х подпрограмм муниципальных программ ГО «г. Якутск».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Подпрограммы «Поддержка и развитие инновационной деятельности малых и средних инновационных предприятий городского округа «город Якутск» на пери¬од 2015-2017 годы» Муниципальной программы городского округа «город Якутск» - «Поддержка и развитие предпринимательства, развитие туризма в городском округе «город Якутск» на 2013-2017 годы».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Подпрограммы «Создание благоприятных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условий для формирования конку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рентоспособной экономики на основе использования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образовательного, научно-тех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нического, инновационного потенциалов городско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округе «город Якутск» Муници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пальной программы городского округа «город Якутск» по повышению эффективности бюджетных расходов на 2015-2017 годы.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Сентябрь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Межвузовский студенческий инновационный бизнес-инкубатор АИЦ (МСИБИ) от-крыл коворкинг-центра в здании АИЦ с доступом к Wi-Fi. Кроме того, для расширения географии охвата и увеличения доступности МСИБИ созданы филиалы в гг. Мирный и Нерюнгри на базе филиалов СВФУ.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Октябрь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Зачислены новые резиденты МСИБИ из числа участников конкурса студенческих команд, в том числе ООО «Амтэк+», ООО «Градпроект», ООО «ДАНГО СОФТ» и «Биз-нес-школа информационных технологий».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8 октября 2014 года АИЦ совместно с Государственным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комитетом по инновацион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ной политике и науке РС (Я) организовали круглый стол «Инфраструктурные решения в стратегии инновационного развития севера России: направления межрегиональной интеграции». По итогам мероприятия Администрации Томской области рекомен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дова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но совместно с Правительством РС (Я), а также СВФ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У, НПО «ВЭСТ», АНО «Томский кон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сорциум научно-образовательных и научных орг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анизаций» развивать инжиниринго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вую деятельность и предусмотреть создание центра инжиниринга на базе АИЦ СВФУ.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рамках Дней российской науки во Вьетнаме в конгрессно-выставочном центре VEFAC 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в г. Ханой (СРВ) состоялся научный форум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посвященный расширению приори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тетных направлений в области российско-вьетнамского сотрудничества.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Ноябрь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30 октября в рамках II Съезда инженеров Якутии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состоялась деловая игра «Эконо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мика будущего. Начало: Битва проектов». Увере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нную победу среди проектов моло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дых инженеров и инноваторов одержала кома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нда МИП СВФУ «Многомерные техно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логии» с проектом «Создание единой платформы на базе технологии дополненной реальности».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Декабрь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рамках Северо-Восточного образовательного форума организована выставка «СВФУ - территория инновационного развития», в которой приняли участие 16 малых инновационных предприятий и 7 лабораторий -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езидентов Арктического инноваци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онного центра.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Проведен ребрендинг МСИБИ в связи с принят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ием нового положения о студенче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ском бизнес-инкубаторе «Oreh».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Принято положительное решение научно-технического совета ОАО «Венчурная компания «Якутия» об инвестировании в инновационные наукоемкие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роекты рези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дентов АИЦ СВФУ.</w:t>
      </w:r>
    </w:p>
    <w:p w:rsidR="003D4737" w:rsidRPr="003D4737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16-17 декабря 2014 г. в СВФУ проведены семин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ары для заведующих кафедр, руко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водителей подразделений по научной и инноваци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онной работе, начальников управ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лений и департаментов, профильных проректоров вуза.</w:t>
      </w:r>
    </w:p>
    <w:p w:rsidR="003D4737" w:rsidRPr="00CC30AE" w:rsidRDefault="003D4737" w:rsidP="003D4737">
      <w:pPr>
        <w:widowControl w:val="0"/>
        <w:spacing w:after="0" w:line="36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 результатам сертификационного семина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 и с учетом имеющегося высоко</w:t>
      </w:r>
      <w:r w:rsidRPr="003D473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инновационного потенциала вуза было принято решение о сертификации СВФУ и его включении в члены Российской сети трансфера технологий (РСТТ-RTTN (Russian Technology Transfer Network)).</w:t>
      </w:r>
    </w:p>
    <w:p w:rsidR="00CC30AE" w:rsidRPr="00CC30AE" w:rsidRDefault="00CC30AE" w:rsidP="0042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0AE" w:rsidRPr="00C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757E"/>
    <w:multiLevelType w:val="multilevel"/>
    <w:tmpl w:val="49780A4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8"/>
    <w:rsid w:val="003D4737"/>
    <w:rsid w:val="00420778"/>
    <w:rsid w:val="00792E11"/>
    <w:rsid w:val="00C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E8E6-2D52-4AAB-BCDE-4939822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30A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85pt">
    <w:name w:val="Основной текст (2) + 8;5 pt"/>
    <w:basedOn w:val="2"/>
    <w:rsid w:val="00CC30AE"/>
    <w:rPr>
      <w:rFonts w:ascii="Calibri" w:eastAsia="Calibri" w:hAnsi="Calibri" w:cs="Calibri"/>
      <w:color w:val="231F2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30AE"/>
    <w:pPr>
      <w:widowControl w:val="0"/>
      <w:shd w:val="clear" w:color="auto" w:fill="FFFFFF"/>
      <w:spacing w:before="140" w:after="0" w:line="235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Apo5a</dc:creator>
  <cp:keywords/>
  <dc:description/>
  <cp:lastModifiedBy>Apo5a</cp:lastModifiedBy>
  <cp:revision>1</cp:revision>
  <dcterms:created xsi:type="dcterms:W3CDTF">2016-04-17T17:06:00Z</dcterms:created>
  <dcterms:modified xsi:type="dcterms:W3CDTF">2016-04-17T17:36:00Z</dcterms:modified>
</cp:coreProperties>
</file>